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3AE17" w14:textId="77777777" w:rsidR="00F24D0E" w:rsidRDefault="00F24D0E" w:rsidP="00A53F51">
      <w:pPr>
        <w:pStyle w:val="Heading2"/>
        <w:spacing w:after="120"/>
        <w:rPr>
          <w:rFonts w:ascii="Decour" w:hAnsi="Decour" w:cstheme="minorHAnsi"/>
          <w:b w:val="0"/>
          <w:i w:val="0"/>
          <w:iCs w:val="0"/>
          <w:caps/>
          <w:sz w:val="24"/>
          <w:u w:val="single"/>
        </w:rPr>
      </w:pPr>
      <w:r>
        <w:rPr>
          <w:rFonts w:ascii="Decour" w:hAnsi="Decour" w:cstheme="minorHAnsi"/>
          <w:b w:val="0"/>
          <w:i w:val="0"/>
          <w:iCs w:val="0"/>
          <w:caps/>
          <w:noProof/>
          <w:sz w:val="24"/>
          <w:u w:val="single"/>
        </w:rPr>
        <w:drawing>
          <wp:anchor distT="0" distB="0" distL="114300" distR="114300" simplePos="0" relativeHeight="251658240" behindDoc="0" locked="0" layoutInCell="1" allowOverlap="1" wp14:anchorId="47FF2BE1" wp14:editId="234336E0">
            <wp:simplePos x="0" y="0"/>
            <wp:positionH relativeFrom="margin">
              <wp:posOffset>2602230</wp:posOffset>
            </wp:positionH>
            <wp:positionV relativeFrom="margin">
              <wp:posOffset>-356235</wp:posOffset>
            </wp:positionV>
            <wp:extent cx="1695450" cy="66421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oomington-Primary-R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95450" cy="664210"/>
                    </a:xfrm>
                    <a:prstGeom prst="rect">
                      <a:avLst/>
                    </a:prstGeom>
                  </pic:spPr>
                </pic:pic>
              </a:graphicData>
            </a:graphic>
            <wp14:sizeRelH relativeFrom="margin">
              <wp14:pctWidth>0</wp14:pctWidth>
            </wp14:sizeRelH>
            <wp14:sizeRelV relativeFrom="margin">
              <wp14:pctHeight>0</wp14:pctHeight>
            </wp14:sizeRelV>
          </wp:anchor>
        </w:drawing>
      </w:r>
    </w:p>
    <w:p w14:paraId="1F3A8EEF" w14:textId="77777777" w:rsidR="0078793E" w:rsidRPr="00FE102C" w:rsidRDefault="00C709A8" w:rsidP="00A53F51">
      <w:pPr>
        <w:pStyle w:val="Heading2"/>
        <w:spacing w:after="120"/>
        <w:rPr>
          <w:rFonts w:ascii="Azo Sans" w:hAnsi="Azo Sans" w:cstheme="minorHAnsi"/>
          <w:i w:val="0"/>
          <w:iCs w:val="0"/>
          <w:caps/>
          <w:sz w:val="22"/>
        </w:rPr>
      </w:pPr>
      <w:r w:rsidRPr="00FE102C">
        <w:rPr>
          <w:rFonts w:ascii="Azo Sans" w:hAnsi="Azo Sans" w:cstheme="minorHAnsi"/>
          <w:i w:val="0"/>
          <w:iCs w:val="0"/>
          <w:caps/>
          <w:sz w:val="22"/>
        </w:rPr>
        <w:t>OVERVIEW</w:t>
      </w:r>
    </w:p>
    <w:p w14:paraId="248A33DA" w14:textId="77777777" w:rsidR="00012A46" w:rsidRPr="000E32F1" w:rsidRDefault="003A4619" w:rsidP="00012A46">
      <w:pPr>
        <w:pStyle w:val="Heading2"/>
        <w:rPr>
          <w:rFonts w:ascii="Azo Sans" w:hAnsi="Azo Sans" w:cstheme="minorHAnsi"/>
          <w:b w:val="0"/>
          <w:bCs w:val="0"/>
          <w:i w:val="0"/>
          <w:iCs w:val="0"/>
          <w:sz w:val="20"/>
          <w:szCs w:val="22"/>
        </w:rPr>
      </w:pPr>
      <w:r>
        <w:rPr>
          <w:rFonts w:ascii="Azo Sans" w:hAnsi="Azo Sans" w:cstheme="minorHAnsi"/>
          <w:b w:val="0"/>
          <w:bCs w:val="0"/>
          <w:i w:val="0"/>
          <w:iCs w:val="0"/>
          <w:sz w:val="20"/>
          <w:szCs w:val="22"/>
        </w:rPr>
        <w:t>Since 2008 Visit Bloomington has distributed more than $370,000 to 50+ organizations through its special event grant program.  The mission of the program is to assist events in creating positive economi</w:t>
      </w:r>
      <w:r w:rsidR="005C1F15">
        <w:rPr>
          <w:rFonts w:ascii="Azo Sans" w:hAnsi="Azo Sans" w:cstheme="minorHAnsi"/>
          <w:b w:val="0"/>
          <w:bCs w:val="0"/>
          <w:i w:val="0"/>
          <w:iCs w:val="0"/>
          <w:sz w:val="20"/>
          <w:szCs w:val="22"/>
        </w:rPr>
        <w:t xml:space="preserve">c impact, </w:t>
      </w:r>
      <w:r>
        <w:rPr>
          <w:rFonts w:ascii="Azo Sans" w:hAnsi="Azo Sans" w:cstheme="minorHAnsi"/>
          <w:b w:val="0"/>
          <w:bCs w:val="0"/>
          <w:i w:val="0"/>
          <w:iCs w:val="0"/>
          <w:sz w:val="20"/>
          <w:szCs w:val="22"/>
        </w:rPr>
        <w:t>growth</w:t>
      </w:r>
      <w:r w:rsidR="005C1F15">
        <w:rPr>
          <w:rFonts w:ascii="Azo Sans" w:hAnsi="Azo Sans" w:cstheme="minorHAnsi"/>
          <w:b w:val="0"/>
          <w:bCs w:val="0"/>
          <w:i w:val="0"/>
          <w:iCs w:val="0"/>
          <w:sz w:val="20"/>
          <w:szCs w:val="22"/>
        </w:rPr>
        <w:t>, and publicity</w:t>
      </w:r>
      <w:r>
        <w:rPr>
          <w:rFonts w:ascii="Azo Sans" w:hAnsi="Azo Sans" w:cstheme="minorHAnsi"/>
          <w:b w:val="0"/>
          <w:bCs w:val="0"/>
          <w:i w:val="0"/>
          <w:iCs w:val="0"/>
          <w:sz w:val="20"/>
          <w:szCs w:val="22"/>
        </w:rPr>
        <w:t xml:space="preserve"> of </w:t>
      </w:r>
      <w:r w:rsidR="005C1F15">
        <w:rPr>
          <w:rFonts w:ascii="Azo Sans" w:hAnsi="Azo Sans" w:cstheme="minorHAnsi"/>
          <w:b w:val="0"/>
          <w:bCs w:val="0"/>
          <w:i w:val="0"/>
          <w:iCs w:val="0"/>
          <w:sz w:val="20"/>
          <w:szCs w:val="22"/>
        </w:rPr>
        <w:t>M</w:t>
      </w:r>
      <w:r>
        <w:rPr>
          <w:rFonts w:ascii="Azo Sans" w:hAnsi="Azo Sans" w:cstheme="minorHAnsi"/>
          <w:b w:val="0"/>
          <w:bCs w:val="0"/>
          <w:i w:val="0"/>
          <w:iCs w:val="0"/>
          <w:sz w:val="20"/>
          <w:szCs w:val="22"/>
        </w:rPr>
        <w:t xml:space="preserve">onroe County </w:t>
      </w:r>
      <w:r w:rsidR="00C70D49">
        <w:rPr>
          <w:rFonts w:ascii="Azo Sans" w:hAnsi="Azo Sans" w:cstheme="minorHAnsi"/>
          <w:b w:val="0"/>
          <w:bCs w:val="0"/>
          <w:i w:val="0"/>
          <w:iCs w:val="0"/>
          <w:sz w:val="20"/>
          <w:szCs w:val="22"/>
        </w:rPr>
        <w:t xml:space="preserve">as a tourism destination </w:t>
      </w:r>
      <w:r>
        <w:rPr>
          <w:rFonts w:ascii="Azo Sans" w:hAnsi="Azo Sans" w:cstheme="minorHAnsi"/>
          <w:b w:val="0"/>
          <w:bCs w:val="0"/>
          <w:i w:val="0"/>
          <w:iCs w:val="0"/>
          <w:sz w:val="20"/>
          <w:szCs w:val="22"/>
        </w:rPr>
        <w:t>by providing funding for event marketing.</w:t>
      </w:r>
    </w:p>
    <w:p w14:paraId="64F4018B" w14:textId="77777777" w:rsidR="00012A46" w:rsidRDefault="00012A46" w:rsidP="009A6390"/>
    <w:p w14:paraId="7FEC190B" w14:textId="77777777" w:rsidR="00012A46" w:rsidRPr="000E32F1" w:rsidRDefault="00012A46" w:rsidP="00012A46">
      <w:pPr>
        <w:pStyle w:val="Heading2"/>
        <w:rPr>
          <w:rFonts w:ascii="Azo Sans" w:hAnsi="Azo Sans" w:cstheme="minorHAnsi"/>
          <w:b w:val="0"/>
          <w:bCs w:val="0"/>
          <w:i w:val="0"/>
          <w:iCs w:val="0"/>
          <w:sz w:val="20"/>
          <w:szCs w:val="22"/>
        </w:rPr>
      </w:pPr>
      <w:r w:rsidRPr="000E32F1">
        <w:rPr>
          <w:rFonts w:ascii="Azo Sans" w:hAnsi="Azo Sans" w:cstheme="minorHAnsi"/>
          <w:b w:val="0"/>
          <w:bCs w:val="0"/>
          <w:i w:val="0"/>
          <w:iCs w:val="0"/>
          <w:sz w:val="20"/>
          <w:szCs w:val="22"/>
        </w:rPr>
        <w:t>The</w:t>
      </w:r>
      <w:r w:rsidR="00C709A8">
        <w:rPr>
          <w:rFonts w:ascii="Azo Sans" w:hAnsi="Azo Sans" w:cstheme="minorHAnsi"/>
          <w:b w:val="0"/>
          <w:bCs w:val="0"/>
          <w:i w:val="0"/>
          <w:iCs w:val="0"/>
          <w:sz w:val="20"/>
          <w:szCs w:val="22"/>
        </w:rPr>
        <w:t xml:space="preserve"> grant is available in two categories</w:t>
      </w:r>
      <w:r w:rsidRPr="000E32F1">
        <w:rPr>
          <w:rFonts w:ascii="Azo Sans" w:hAnsi="Azo Sans" w:cstheme="minorHAnsi"/>
          <w:b w:val="0"/>
          <w:bCs w:val="0"/>
          <w:i w:val="0"/>
          <w:iCs w:val="0"/>
          <w:sz w:val="20"/>
          <w:szCs w:val="22"/>
        </w:rPr>
        <w:t xml:space="preserve">: </w:t>
      </w:r>
      <w:r w:rsidR="00686B01">
        <w:rPr>
          <w:rFonts w:ascii="Azo Sans" w:hAnsi="Azo Sans" w:cstheme="minorHAnsi"/>
          <w:b w:val="0"/>
          <w:bCs w:val="0"/>
          <w:i w:val="0"/>
          <w:iCs w:val="0"/>
          <w:sz w:val="20"/>
          <w:szCs w:val="22"/>
        </w:rPr>
        <w:t xml:space="preserve">emerging </w:t>
      </w:r>
      <w:r w:rsidR="00C709A8">
        <w:rPr>
          <w:rFonts w:ascii="Azo Sans" w:hAnsi="Azo Sans" w:cstheme="minorHAnsi"/>
          <w:b w:val="0"/>
          <w:bCs w:val="0"/>
          <w:i w:val="0"/>
          <w:iCs w:val="0"/>
          <w:sz w:val="20"/>
          <w:szCs w:val="22"/>
        </w:rPr>
        <w:t xml:space="preserve">events </w:t>
      </w:r>
      <w:r w:rsidR="00686B01">
        <w:rPr>
          <w:rFonts w:ascii="Azo Sans" w:hAnsi="Azo Sans" w:cstheme="minorHAnsi"/>
          <w:b w:val="0"/>
          <w:bCs w:val="0"/>
          <w:i w:val="0"/>
          <w:iCs w:val="0"/>
          <w:sz w:val="20"/>
          <w:szCs w:val="22"/>
        </w:rPr>
        <w:t>(</w:t>
      </w:r>
      <w:r w:rsidR="000E32F1">
        <w:rPr>
          <w:rFonts w:ascii="Azo Sans" w:hAnsi="Azo Sans" w:cstheme="minorHAnsi"/>
          <w:b w:val="0"/>
          <w:bCs w:val="0"/>
          <w:i w:val="0"/>
          <w:iCs w:val="0"/>
          <w:sz w:val="20"/>
          <w:szCs w:val="22"/>
        </w:rPr>
        <w:t>five or less years</w:t>
      </w:r>
      <w:r w:rsidR="00C709A8">
        <w:rPr>
          <w:rFonts w:ascii="Azo Sans" w:hAnsi="Azo Sans" w:cstheme="minorHAnsi"/>
          <w:b w:val="0"/>
          <w:bCs w:val="0"/>
          <w:i w:val="0"/>
          <w:iCs w:val="0"/>
          <w:sz w:val="20"/>
          <w:szCs w:val="22"/>
        </w:rPr>
        <w:t xml:space="preserve"> old</w:t>
      </w:r>
      <w:r w:rsidR="000E32F1">
        <w:rPr>
          <w:rFonts w:ascii="Azo Sans" w:hAnsi="Azo Sans" w:cstheme="minorHAnsi"/>
          <w:b w:val="0"/>
          <w:bCs w:val="0"/>
          <w:i w:val="0"/>
          <w:iCs w:val="0"/>
          <w:sz w:val="20"/>
          <w:szCs w:val="22"/>
        </w:rPr>
        <w:t xml:space="preserve">) and </w:t>
      </w:r>
      <w:r w:rsidR="00686B01">
        <w:rPr>
          <w:rFonts w:ascii="Azo Sans" w:hAnsi="Azo Sans" w:cstheme="minorHAnsi"/>
          <w:b w:val="0"/>
          <w:bCs w:val="0"/>
          <w:i w:val="0"/>
          <w:iCs w:val="0"/>
          <w:sz w:val="20"/>
          <w:szCs w:val="22"/>
        </w:rPr>
        <w:t xml:space="preserve">established </w:t>
      </w:r>
      <w:r w:rsidR="00C709A8">
        <w:rPr>
          <w:rFonts w:ascii="Azo Sans" w:hAnsi="Azo Sans" w:cstheme="minorHAnsi"/>
          <w:b w:val="0"/>
          <w:bCs w:val="0"/>
          <w:i w:val="0"/>
          <w:iCs w:val="0"/>
          <w:sz w:val="20"/>
          <w:szCs w:val="22"/>
        </w:rPr>
        <w:t xml:space="preserve">events </w:t>
      </w:r>
      <w:r w:rsidRPr="000E32F1">
        <w:rPr>
          <w:rFonts w:ascii="Azo Sans" w:hAnsi="Azo Sans" w:cstheme="minorHAnsi"/>
          <w:b w:val="0"/>
          <w:bCs w:val="0"/>
          <w:i w:val="0"/>
          <w:iCs w:val="0"/>
          <w:sz w:val="20"/>
          <w:szCs w:val="22"/>
        </w:rPr>
        <w:t>(</w:t>
      </w:r>
      <w:r w:rsidR="00686B01">
        <w:rPr>
          <w:rFonts w:ascii="Azo Sans" w:hAnsi="Azo Sans" w:cstheme="minorHAnsi"/>
          <w:b w:val="0"/>
          <w:bCs w:val="0"/>
          <w:i w:val="0"/>
          <w:iCs w:val="0"/>
          <w:sz w:val="20"/>
          <w:szCs w:val="22"/>
        </w:rPr>
        <w:t>six or more</w:t>
      </w:r>
      <w:r w:rsidR="000E32F1">
        <w:rPr>
          <w:rFonts w:ascii="Azo Sans" w:hAnsi="Azo Sans" w:cstheme="minorHAnsi"/>
          <w:b w:val="0"/>
          <w:bCs w:val="0"/>
          <w:i w:val="0"/>
          <w:iCs w:val="0"/>
          <w:sz w:val="20"/>
          <w:szCs w:val="22"/>
        </w:rPr>
        <w:t xml:space="preserve"> years</w:t>
      </w:r>
      <w:r w:rsidR="00C709A8">
        <w:rPr>
          <w:rFonts w:ascii="Azo Sans" w:hAnsi="Azo Sans" w:cstheme="minorHAnsi"/>
          <w:b w:val="0"/>
          <w:bCs w:val="0"/>
          <w:i w:val="0"/>
          <w:iCs w:val="0"/>
          <w:sz w:val="20"/>
          <w:szCs w:val="22"/>
        </w:rPr>
        <w:t xml:space="preserve"> old</w:t>
      </w:r>
      <w:r w:rsidR="000E32F1">
        <w:rPr>
          <w:rFonts w:ascii="Azo Sans" w:hAnsi="Azo Sans" w:cstheme="minorHAnsi"/>
          <w:b w:val="0"/>
          <w:bCs w:val="0"/>
          <w:i w:val="0"/>
          <w:iCs w:val="0"/>
          <w:sz w:val="20"/>
          <w:szCs w:val="22"/>
        </w:rPr>
        <w:t>).</w:t>
      </w:r>
      <w:r w:rsidRPr="000E32F1">
        <w:rPr>
          <w:rFonts w:ascii="Azo Sans" w:hAnsi="Azo Sans" w:cstheme="minorHAnsi"/>
          <w:b w:val="0"/>
          <w:bCs w:val="0"/>
          <w:i w:val="0"/>
          <w:iCs w:val="0"/>
          <w:sz w:val="20"/>
          <w:szCs w:val="22"/>
        </w:rPr>
        <w:t xml:space="preserve"> </w:t>
      </w:r>
      <w:r w:rsidR="000E32F1">
        <w:rPr>
          <w:rFonts w:ascii="Azo Sans" w:hAnsi="Azo Sans" w:cstheme="minorHAnsi"/>
          <w:b w:val="0"/>
          <w:bCs w:val="0"/>
          <w:i w:val="0"/>
          <w:iCs w:val="0"/>
          <w:sz w:val="20"/>
          <w:szCs w:val="22"/>
        </w:rPr>
        <w:t xml:space="preserve"> </w:t>
      </w:r>
      <w:r w:rsidR="00650F0A">
        <w:rPr>
          <w:rFonts w:ascii="Azo Sans" w:hAnsi="Azo Sans" w:cstheme="minorHAnsi"/>
          <w:b w:val="0"/>
          <w:bCs w:val="0"/>
          <w:i w:val="0"/>
          <w:iCs w:val="0"/>
          <w:sz w:val="20"/>
          <w:szCs w:val="22"/>
        </w:rPr>
        <w:t xml:space="preserve">The maximum level of funding for any </w:t>
      </w:r>
      <w:r w:rsidR="00A95A66">
        <w:rPr>
          <w:rFonts w:ascii="Azo Sans" w:hAnsi="Azo Sans" w:cstheme="minorHAnsi"/>
          <w:b w:val="0"/>
          <w:bCs w:val="0"/>
          <w:i w:val="0"/>
          <w:iCs w:val="0"/>
          <w:sz w:val="20"/>
          <w:szCs w:val="22"/>
        </w:rPr>
        <w:t>qualifying</w:t>
      </w:r>
      <w:r w:rsidR="00650F0A">
        <w:rPr>
          <w:rFonts w:ascii="Azo Sans" w:hAnsi="Azo Sans" w:cstheme="minorHAnsi"/>
          <w:b w:val="0"/>
          <w:bCs w:val="0"/>
          <w:i w:val="0"/>
          <w:iCs w:val="0"/>
          <w:sz w:val="20"/>
          <w:szCs w:val="22"/>
        </w:rPr>
        <w:t xml:space="preserve"> application is $5,000.</w:t>
      </w:r>
    </w:p>
    <w:p w14:paraId="1F89BC40" w14:textId="77777777" w:rsidR="0078793E" w:rsidRPr="00726D04" w:rsidRDefault="0078793E">
      <w:pPr>
        <w:rPr>
          <w:rFonts w:ascii="Azo Sans" w:hAnsi="Azo Sans" w:cstheme="minorHAnsi"/>
          <w:b/>
          <w:bCs/>
          <w:sz w:val="20"/>
          <w:szCs w:val="22"/>
        </w:rPr>
      </w:pPr>
    </w:p>
    <w:p w14:paraId="0207A378" w14:textId="77777777" w:rsidR="0078793E" w:rsidRPr="00FE102C" w:rsidRDefault="0078793E" w:rsidP="00A53F51">
      <w:pPr>
        <w:pStyle w:val="Heading2"/>
        <w:spacing w:after="120"/>
        <w:rPr>
          <w:rFonts w:ascii="Azo Sans" w:hAnsi="Azo Sans" w:cstheme="minorHAnsi"/>
          <w:i w:val="0"/>
          <w:iCs w:val="0"/>
          <w:caps/>
          <w:sz w:val="22"/>
        </w:rPr>
      </w:pPr>
      <w:r w:rsidRPr="00FE102C">
        <w:rPr>
          <w:rFonts w:ascii="Azo Sans" w:hAnsi="Azo Sans" w:cstheme="minorHAnsi"/>
          <w:i w:val="0"/>
          <w:iCs w:val="0"/>
          <w:caps/>
          <w:sz w:val="22"/>
        </w:rPr>
        <w:t>T</w:t>
      </w:r>
      <w:r w:rsidR="00FE102C">
        <w:rPr>
          <w:rFonts w:ascii="Azo Sans" w:hAnsi="Azo Sans" w:cstheme="minorHAnsi"/>
          <w:i w:val="0"/>
          <w:iCs w:val="0"/>
          <w:caps/>
          <w:sz w:val="22"/>
        </w:rPr>
        <w:t>imetable &amp; Evaluation Procedure</w:t>
      </w:r>
    </w:p>
    <w:p w14:paraId="7A16D941" w14:textId="1C2D1FCE" w:rsidR="00A95A66" w:rsidRPr="000E32F1" w:rsidRDefault="00A95A66" w:rsidP="00A95A66">
      <w:pPr>
        <w:pStyle w:val="BodyText"/>
        <w:spacing w:before="120"/>
        <w:rPr>
          <w:rFonts w:ascii="Azo Sans" w:hAnsi="Azo Sans" w:cstheme="minorHAnsi"/>
          <w:sz w:val="20"/>
          <w:szCs w:val="20"/>
        </w:rPr>
      </w:pPr>
      <w:r w:rsidRPr="000E32F1">
        <w:rPr>
          <w:rFonts w:ascii="Azo Sans" w:hAnsi="Azo Sans" w:cstheme="minorHAnsi"/>
          <w:bCs/>
          <w:sz w:val="20"/>
          <w:szCs w:val="20"/>
        </w:rPr>
        <w:t xml:space="preserve">Visit Bloomington will accept completed applications beginning </w:t>
      </w:r>
      <w:r w:rsidR="00DD1369">
        <w:rPr>
          <w:rFonts w:ascii="Azo Sans" w:hAnsi="Azo Sans" w:cstheme="minorHAnsi"/>
          <w:bCs/>
          <w:sz w:val="20"/>
          <w:szCs w:val="20"/>
        </w:rPr>
        <w:t>Friday, May 1, 2020</w:t>
      </w:r>
      <w:r>
        <w:rPr>
          <w:rFonts w:ascii="Azo Sans" w:hAnsi="Azo Sans" w:cstheme="minorHAnsi"/>
          <w:bCs/>
          <w:sz w:val="20"/>
          <w:szCs w:val="20"/>
        </w:rPr>
        <w:t xml:space="preserve"> until 5:00 pm </w:t>
      </w:r>
      <w:r w:rsidR="00DD1369">
        <w:rPr>
          <w:rFonts w:ascii="Azo Sans" w:hAnsi="Azo Sans" w:cstheme="minorHAnsi"/>
          <w:bCs/>
          <w:sz w:val="20"/>
          <w:szCs w:val="20"/>
        </w:rPr>
        <w:t>Wednesday, July 1, 2020</w:t>
      </w:r>
      <w:r w:rsidRPr="000E32F1">
        <w:rPr>
          <w:rFonts w:ascii="Azo Sans" w:hAnsi="Azo Sans" w:cstheme="minorHAnsi"/>
          <w:bCs/>
          <w:sz w:val="20"/>
          <w:szCs w:val="20"/>
        </w:rPr>
        <w:t xml:space="preserve">.  </w:t>
      </w:r>
      <w:r w:rsidRPr="000E32F1">
        <w:rPr>
          <w:rFonts w:ascii="Azo Sans" w:hAnsi="Azo Sans" w:cstheme="minorHAnsi"/>
          <w:sz w:val="20"/>
          <w:szCs w:val="20"/>
        </w:rPr>
        <w:t xml:space="preserve"> Approximately $</w:t>
      </w:r>
      <w:r>
        <w:rPr>
          <w:rFonts w:ascii="Azo Sans" w:hAnsi="Azo Sans" w:cstheme="minorHAnsi"/>
          <w:sz w:val="20"/>
          <w:szCs w:val="20"/>
        </w:rPr>
        <w:t>5</w:t>
      </w:r>
      <w:r w:rsidRPr="000E32F1">
        <w:rPr>
          <w:rFonts w:ascii="Azo Sans" w:hAnsi="Azo Sans" w:cstheme="minorHAnsi"/>
          <w:sz w:val="20"/>
          <w:szCs w:val="20"/>
        </w:rPr>
        <w:t>0,000 in fund</w:t>
      </w:r>
      <w:r w:rsidR="00391431">
        <w:rPr>
          <w:rFonts w:ascii="Azo Sans" w:hAnsi="Azo Sans" w:cstheme="minorHAnsi"/>
          <w:sz w:val="20"/>
          <w:szCs w:val="20"/>
        </w:rPr>
        <w:t xml:space="preserve">ing is available and only </w:t>
      </w:r>
      <w:r w:rsidRPr="000E32F1">
        <w:rPr>
          <w:rFonts w:ascii="Azo Sans" w:hAnsi="Azo Sans" w:cstheme="minorHAnsi"/>
          <w:sz w:val="20"/>
          <w:szCs w:val="20"/>
        </w:rPr>
        <w:t>applications received before 5</w:t>
      </w:r>
      <w:r>
        <w:rPr>
          <w:rFonts w:ascii="Azo Sans" w:hAnsi="Azo Sans" w:cstheme="minorHAnsi"/>
          <w:sz w:val="20"/>
          <w:szCs w:val="20"/>
        </w:rPr>
        <w:t xml:space="preserve">:00 </w:t>
      </w:r>
      <w:r w:rsidRPr="000E32F1">
        <w:rPr>
          <w:rFonts w:ascii="Azo Sans" w:hAnsi="Azo Sans" w:cstheme="minorHAnsi"/>
          <w:sz w:val="20"/>
          <w:szCs w:val="20"/>
        </w:rPr>
        <w:t xml:space="preserve">pm on </w:t>
      </w:r>
      <w:r w:rsidR="00DD1369">
        <w:rPr>
          <w:rFonts w:ascii="Azo Sans" w:hAnsi="Azo Sans" w:cstheme="minorHAnsi"/>
          <w:sz w:val="20"/>
          <w:szCs w:val="20"/>
        </w:rPr>
        <w:t>Wednes</w:t>
      </w:r>
      <w:r>
        <w:rPr>
          <w:rFonts w:ascii="Azo Sans" w:hAnsi="Azo Sans" w:cstheme="minorHAnsi"/>
          <w:sz w:val="20"/>
          <w:szCs w:val="20"/>
        </w:rPr>
        <w:t>day, July 1, 20</w:t>
      </w:r>
      <w:r w:rsidR="00DD1369">
        <w:rPr>
          <w:rFonts w:ascii="Azo Sans" w:hAnsi="Azo Sans" w:cstheme="minorHAnsi"/>
          <w:sz w:val="20"/>
          <w:szCs w:val="20"/>
        </w:rPr>
        <w:t>20</w:t>
      </w:r>
      <w:r w:rsidRPr="000E32F1">
        <w:rPr>
          <w:rFonts w:ascii="Azo Sans" w:hAnsi="Azo Sans" w:cstheme="minorHAnsi"/>
          <w:sz w:val="20"/>
          <w:szCs w:val="20"/>
        </w:rPr>
        <w:t xml:space="preserve"> will be eligible for consideration.  </w:t>
      </w:r>
      <w:r w:rsidR="00DF4FE8">
        <w:rPr>
          <w:rFonts w:ascii="Azo Sans" w:hAnsi="Azo Sans" w:cstheme="minorHAnsi"/>
          <w:sz w:val="20"/>
          <w:szCs w:val="20"/>
        </w:rPr>
        <w:t>Late applications will not be accepted.</w:t>
      </w:r>
      <w:r w:rsidR="00DF4FE8">
        <w:rPr>
          <w:rFonts w:ascii="Azo Sans" w:hAnsi="Azo Sans" w:cstheme="minorHAnsi"/>
          <w:sz w:val="20"/>
          <w:szCs w:val="20"/>
        </w:rPr>
        <w:br/>
      </w:r>
      <w:r w:rsidRPr="000E32F1">
        <w:rPr>
          <w:rFonts w:ascii="Azo Sans" w:hAnsi="Azo Sans" w:cstheme="minorHAnsi"/>
          <w:sz w:val="20"/>
          <w:szCs w:val="20"/>
        </w:rPr>
        <w:t xml:space="preserve">Applications </w:t>
      </w:r>
      <w:r>
        <w:rPr>
          <w:rFonts w:ascii="Azo Sans" w:hAnsi="Azo Sans" w:cstheme="minorHAnsi"/>
          <w:sz w:val="20"/>
          <w:szCs w:val="20"/>
        </w:rPr>
        <w:t xml:space="preserve">must be emailed in Adobe </w:t>
      </w:r>
      <w:r w:rsidRPr="000E32F1">
        <w:rPr>
          <w:rFonts w:ascii="Azo Sans" w:hAnsi="Azo Sans" w:cstheme="minorHAnsi"/>
          <w:sz w:val="20"/>
          <w:szCs w:val="20"/>
        </w:rPr>
        <w:t xml:space="preserve">PDF </w:t>
      </w:r>
      <w:r>
        <w:rPr>
          <w:rFonts w:ascii="Azo Sans" w:hAnsi="Azo Sans" w:cstheme="minorHAnsi"/>
          <w:sz w:val="20"/>
          <w:szCs w:val="20"/>
        </w:rPr>
        <w:t xml:space="preserve">format </w:t>
      </w:r>
      <w:r w:rsidRPr="000E32F1">
        <w:rPr>
          <w:rFonts w:ascii="Azo Sans" w:hAnsi="Azo Sans" w:cstheme="minorHAnsi"/>
          <w:sz w:val="20"/>
          <w:szCs w:val="20"/>
        </w:rPr>
        <w:t xml:space="preserve">to </w:t>
      </w:r>
      <w:r w:rsidRPr="00EF58A3">
        <w:rPr>
          <w:rStyle w:val="Hyperlink"/>
          <w:rFonts w:ascii="Azo Sans" w:hAnsi="Azo Sans" w:cstheme="minorHAnsi"/>
          <w:color w:val="auto"/>
          <w:sz w:val="20"/>
          <w:szCs w:val="20"/>
        </w:rPr>
        <w:t>erin@visitbloomington.com</w:t>
      </w:r>
      <w:r w:rsidRPr="00EF58A3">
        <w:rPr>
          <w:rFonts w:ascii="Azo Sans" w:hAnsi="Azo Sans" w:cstheme="minorHAnsi"/>
          <w:sz w:val="20"/>
          <w:szCs w:val="20"/>
        </w:rPr>
        <w:t xml:space="preserve">. </w:t>
      </w:r>
    </w:p>
    <w:p w14:paraId="59998854" w14:textId="77777777" w:rsidR="0078793E" w:rsidRPr="000E32F1" w:rsidRDefault="0078793E" w:rsidP="00EC452B">
      <w:pPr>
        <w:spacing w:before="120"/>
        <w:rPr>
          <w:rFonts w:ascii="Azo Sans" w:hAnsi="Azo Sans" w:cstheme="minorHAnsi"/>
          <w:sz w:val="20"/>
          <w:szCs w:val="20"/>
        </w:rPr>
      </w:pPr>
      <w:r w:rsidRPr="000E32F1">
        <w:rPr>
          <w:rFonts w:ascii="Azo Sans" w:hAnsi="Azo Sans" w:cstheme="minorHAnsi"/>
          <w:sz w:val="20"/>
          <w:szCs w:val="20"/>
        </w:rPr>
        <w:t xml:space="preserve">Applications will </w:t>
      </w:r>
      <w:r w:rsidR="00752631" w:rsidRPr="00752631">
        <w:rPr>
          <w:rFonts w:ascii="Azo Sans" w:hAnsi="Azo Sans" w:cstheme="minorHAnsi"/>
          <w:b/>
          <w:i/>
          <w:sz w:val="20"/>
          <w:szCs w:val="20"/>
        </w:rPr>
        <w:t>not</w:t>
      </w:r>
      <w:r w:rsidR="00752631">
        <w:rPr>
          <w:rFonts w:ascii="Azo Sans" w:hAnsi="Azo Sans" w:cstheme="minorHAnsi"/>
          <w:sz w:val="20"/>
          <w:szCs w:val="20"/>
        </w:rPr>
        <w:t xml:space="preserve"> </w:t>
      </w:r>
      <w:r w:rsidRPr="000E32F1">
        <w:rPr>
          <w:rFonts w:ascii="Azo Sans" w:hAnsi="Azo Sans" w:cstheme="minorHAnsi"/>
          <w:sz w:val="20"/>
          <w:szCs w:val="20"/>
        </w:rPr>
        <w:t>be reviewed for completeness</w:t>
      </w:r>
      <w:r w:rsidRPr="000E32F1">
        <w:rPr>
          <w:rFonts w:ascii="Azo Sans" w:hAnsi="Azo Sans" w:cstheme="minorHAnsi"/>
          <w:b/>
          <w:bCs/>
          <w:sz w:val="20"/>
          <w:szCs w:val="20"/>
        </w:rPr>
        <w:t xml:space="preserve"> </w:t>
      </w:r>
      <w:r w:rsidR="00236DED" w:rsidRPr="000E32F1">
        <w:rPr>
          <w:rFonts w:ascii="Azo Sans" w:hAnsi="Azo Sans" w:cstheme="minorHAnsi"/>
          <w:sz w:val="20"/>
          <w:szCs w:val="20"/>
        </w:rPr>
        <w:t>or missing information</w:t>
      </w:r>
      <w:r w:rsidR="00752631">
        <w:rPr>
          <w:rFonts w:ascii="Azo Sans" w:hAnsi="Azo Sans" w:cstheme="minorHAnsi"/>
          <w:sz w:val="20"/>
          <w:szCs w:val="20"/>
        </w:rPr>
        <w:t xml:space="preserve"> upon submission.  A complete</w:t>
      </w:r>
      <w:r w:rsidRPr="000E32F1">
        <w:rPr>
          <w:rFonts w:ascii="Azo Sans" w:hAnsi="Azo Sans" w:cstheme="minorHAnsi"/>
          <w:sz w:val="20"/>
          <w:szCs w:val="20"/>
        </w:rPr>
        <w:t xml:space="preserve"> applicatio</w:t>
      </w:r>
      <w:r w:rsidR="00236DED" w:rsidRPr="000E32F1">
        <w:rPr>
          <w:rFonts w:ascii="Azo Sans" w:hAnsi="Azo Sans" w:cstheme="minorHAnsi"/>
          <w:sz w:val="20"/>
          <w:szCs w:val="20"/>
        </w:rPr>
        <w:t xml:space="preserve">n does not guarantee funding.  </w:t>
      </w:r>
      <w:r w:rsidR="00F02B8B" w:rsidRPr="000E32F1">
        <w:rPr>
          <w:rFonts w:ascii="Azo Sans" w:hAnsi="Azo Sans" w:cstheme="minorHAnsi"/>
          <w:sz w:val="20"/>
          <w:szCs w:val="20"/>
        </w:rPr>
        <w:t>Visit Bloomington</w:t>
      </w:r>
      <w:r w:rsidRPr="000E32F1">
        <w:rPr>
          <w:rFonts w:ascii="Azo Sans" w:hAnsi="Azo Sans" w:cstheme="minorHAnsi"/>
          <w:sz w:val="20"/>
          <w:szCs w:val="20"/>
        </w:rPr>
        <w:t xml:space="preserve"> reserves the right to reject</w:t>
      </w:r>
      <w:r w:rsidR="00E83AC6" w:rsidRPr="000E32F1">
        <w:rPr>
          <w:rFonts w:ascii="Azo Sans" w:hAnsi="Azo Sans" w:cstheme="minorHAnsi"/>
          <w:sz w:val="20"/>
          <w:szCs w:val="20"/>
        </w:rPr>
        <w:t xml:space="preserve"> any application for any reason.  </w:t>
      </w:r>
      <w:r w:rsidR="00F02B8B" w:rsidRPr="000E32F1">
        <w:rPr>
          <w:rFonts w:ascii="Azo Sans" w:hAnsi="Azo Sans" w:cstheme="minorHAnsi"/>
          <w:bCs/>
          <w:sz w:val="20"/>
          <w:szCs w:val="20"/>
        </w:rPr>
        <w:t>Visit Bloomington</w:t>
      </w:r>
      <w:r w:rsidR="00C72967" w:rsidRPr="000E32F1">
        <w:rPr>
          <w:rFonts w:ascii="Azo Sans" w:hAnsi="Azo Sans" w:cstheme="minorHAnsi"/>
          <w:bCs/>
          <w:sz w:val="20"/>
          <w:szCs w:val="20"/>
        </w:rPr>
        <w:t xml:space="preserve"> staff and </w:t>
      </w:r>
      <w:r w:rsidR="00F02B8B" w:rsidRPr="000E32F1">
        <w:rPr>
          <w:rFonts w:ascii="Azo Sans" w:hAnsi="Azo Sans" w:cstheme="minorHAnsi"/>
          <w:bCs/>
          <w:sz w:val="20"/>
          <w:szCs w:val="20"/>
        </w:rPr>
        <w:t xml:space="preserve">representatives of the </w:t>
      </w:r>
      <w:r w:rsidR="00C72967" w:rsidRPr="000E32F1">
        <w:rPr>
          <w:rFonts w:ascii="Azo Sans" w:hAnsi="Azo Sans" w:cstheme="minorHAnsi"/>
          <w:bCs/>
          <w:sz w:val="20"/>
          <w:szCs w:val="20"/>
        </w:rPr>
        <w:t xml:space="preserve">Board of Directors </w:t>
      </w:r>
      <w:r w:rsidRPr="000E32F1">
        <w:rPr>
          <w:rFonts w:ascii="Azo Sans" w:hAnsi="Azo Sans" w:cstheme="minorHAnsi"/>
          <w:bCs/>
          <w:sz w:val="20"/>
          <w:szCs w:val="20"/>
        </w:rPr>
        <w:t>review and score the</w:t>
      </w:r>
      <w:r w:rsidR="00E45F2A" w:rsidRPr="000E32F1">
        <w:rPr>
          <w:rFonts w:ascii="Azo Sans" w:hAnsi="Azo Sans" w:cstheme="minorHAnsi"/>
          <w:bCs/>
          <w:sz w:val="20"/>
          <w:szCs w:val="20"/>
        </w:rPr>
        <w:t xml:space="preserve"> applications.  The </w:t>
      </w:r>
      <w:r w:rsidR="00F02B8B" w:rsidRPr="000E32F1">
        <w:rPr>
          <w:rFonts w:ascii="Azo Sans" w:hAnsi="Azo Sans" w:cstheme="minorHAnsi"/>
          <w:bCs/>
          <w:sz w:val="20"/>
          <w:szCs w:val="20"/>
        </w:rPr>
        <w:t>Visit Bloomington</w:t>
      </w:r>
      <w:r w:rsidR="00B720C3">
        <w:rPr>
          <w:rFonts w:ascii="Azo Sans" w:hAnsi="Azo Sans" w:cstheme="minorHAnsi"/>
          <w:bCs/>
          <w:sz w:val="20"/>
          <w:szCs w:val="20"/>
        </w:rPr>
        <w:t xml:space="preserve"> Board of Directors </w:t>
      </w:r>
      <w:r w:rsidR="00E45F2A" w:rsidRPr="000E32F1">
        <w:rPr>
          <w:rFonts w:ascii="Azo Sans" w:hAnsi="Azo Sans" w:cstheme="minorHAnsi"/>
          <w:bCs/>
          <w:sz w:val="20"/>
          <w:szCs w:val="20"/>
        </w:rPr>
        <w:t xml:space="preserve">approve all funding decisions. </w:t>
      </w:r>
    </w:p>
    <w:p w14:paraId="720FD6B4" w14:textId="77777777" w:rsidR="0078793E" w:rsidRDefault="0078793E" w:rsidP="00EC452B">
      <w:pPr>
        <w:pStyle w:val="BodyText"/>
        <w:spacing w:before="120"/>
        <w:rPr>
          <w:rFonts w:ascii="Azo Sans" w:hAnsi="Azo Sans" w:cstheme="minorHAnsi"/>
          <w:sz w:val="20"/>
          <w:szCs w:val="20"/>
        </w:rPr>
      </w:pPr>
      <w:r w:rsidRPr="000E32F1">
        <w:rPr>
          <w:rFonts w:ascii="Azo Sans" w:hAnsi="Azo Sans" w:cstheme="minorHAnsi"/>
          <w:sz w:val="20"/>
          <w:szCs w:val="20"/>
        </w:rPr>
        <w:t xml:space="preserve">Once the final decision on funding is determined, applicants will be notified. </w:t>
      </w:r>
      <w:r w:rsidR="00650F0A">
        <w:rPr>
          <w:rFonts w:ascii="Azo Sans" w:hAnsi="Azo Sans" w:cstheme="minorHAnsi"/>
          <w:sz w:val="20"/>
          <w:szCs w:val="20"/>
        </w:rPr>
        <w:t>Qualifying</w:t>
      </w:r>
      <w:r w:rsidRPr="000E32F1">
        <w:rPr>
          <w:rFonts w:ascii="Azo Sans" w:hAnsi="Azo Sans" w:cstheme="minorHAnsi"/>
          <w:sz w:val="20"/>
          <w:szCs w:val="20"/>
        </w:rPr>
        <w:t xml:space="preserve"> applicant</w:t>
      </w:r>
      <w:r w:rsidR="00236DED" w:rsidRPr="000E32F1">
        <w:rPr>
          <w:rFonts w:ascii="Azo Sans" w:hAnsi="Azo Sans" w:cstheme="minorHAnsi"/>
          <w:sz w:val="20"/>
          <w:szCs w:val="20"/>
        </w:rPr>
        <w:t xml:space="preserve">s receive </w:t>
      </w:r>
      <w:r w:rsidR="00AD468F">
        <w:rPr>
          <w:rFonts w:ascii="Azo Sans" w:hAnsi="Azo Sans" w:cstheme="minorHAnsi"/>
          <w:sz w:val="20"/>
          <w:szCs w:val="20"/>
        </w:rPr>
        <w:t xml:space="preserve">a </w:t>
      </w:r>
      <w:r w:rsidR="00236DED" w:rsidRPr="000E32F1">
        <w:rPr>
          <w:rFonts w:ascii="Azo Sans" w:hAnsi="Azo Sans" w:cstheme="minorHAnsi"/>
          <w:sz w:val="20"/>
          <w:szCs w:val="20"/>
        </w:rPr>
        <w:t>lett</w:t>
      </w:r>
      <w:r w:rsidR="0023411E" w:rsidRPr="000E32F1">
        <w:rPr>
          <w:rFonts w:ascii="Azo Sans" w:hAnsi="Azo Sans" w:cstheme="minorHAnsi"/>
          <w:sz w:val="20"/>
          <w:szCs w:val="20"/>
        </w:rPr>
        <w:t xml:space="preserve">er of </w:t>
      </w:r>
      <w:r w:rsidR="00014A4D" w:rsidRPr="000E32F1">
        <w:rPr>
          <w:rFonts w:ascii="Azo Sans" w:hAnsi="Azo Sans" w:cstheme="minorHAnsi"/>
          <w:sz w:val="20"/>
          <w:szCs w:val="20"/>
        </w:rPr>
        <w:t xml:space="preserve">agreement </w:t>
      </w:r>
      <w:r w:rsidRPr="000E32F1">
        <w:rPr>
          <w:rFonts w:ascii="Azo Sans" w:hAnsi="Azo Sans" w:cstheme="minorHAnsi"/>
          <w:sz w:val="20"/>
          <w:szCs w:val="20"/>
        </w:rPr>
        <w:t xml:space="preserve">with </w:t>
      </w:r>
      <w:r w:rsidR="005562DE">
        <w:rPr>
          <w:rFonts w:ascii="Azo Sans" w:hAnsi="Azo Sans" w:cstheme="minorHAnsi"/>
          <w:sz w:val="20"/>
          <w:szCs w:val="20"/>
        </w:rPr>
        <w:t>funded award</w:t>
      </w:r>
      <w:r w:rsidR="00AD468F">
        <w:rPr>
          <w:rFonts w:ascii="Azo Sans" w:hAnsi="Azo Sans" w:cstheme="minorHAnsi"/>
          <w:sz w:val="20"/>
          <w:szCs w:val="20"/>
        </w:rPr>
        <w:t xml:space="preserve"> amount</w:t>
      </w:r>
      <w:r w:rsidRPr="000E32F1">
        <w:rPr>
          <w:rFonts w:ascii="Azo Sans" w:hAnsi="Azo Sans" w:cstheme="minorHAnsi"/>
          <w:sz w:val="20"/>
          <w:szCs w:val="20"/>
        </w:rPr>
        <w:t>, instructions on exact items that wer</w:t>
      </w:r>
      <w:r w:rsidR="00B720C3">
        <w:rPr>
          <w:rFonts w:ascii="Azo Sans" w:hAnsi="Azo Sans" w:cstheme="minorHAnsi"/>
          <w:sz w:val="20"/>
          <w:szCs w:val="20"/>
        </w:rPr>
        <w:t>e approved for funding, and</w:t>
      </w:r>
      <w:r w:rsidRPr="000E32F1">
        <w:rPr>
          <w:rFonts w:ascii="Azo Sans" w:hAnsi="Azo Sans" w:cstheme="minorHAnsi"/>
          <w:sz w:val="20"/>
          <w:szCs w:val="20"/>
        </w:rPr>
        <w:t xml:space="preserve"> information on invoicing, reimbursement and reporting</w:t>
      </w:r>
      <w:r w:rsidR="009F7082" w:rsidRPr="000E32F1">
        <w:rPr>
          <w:rFonts w:ascii="Azo Sans" w:hAnsi="Azo Sans" w:cstheme="minorHAnsi"/>
          <w:sz w:val="20"/>
          <w:szCs w:val="20"/>
        </w:rPr>
        <w:t>.  Th</w:t>
      </w:r>
      <w:r w:rsidR="00014A4D" w:rsidRPr="000E32F1">
        <w:rPr>
          <w:rFonts w:ascii="Azo Sans" w:hAnsi="Azo Sans" w:cstheme="minorHAnsi"/>
          <w:sz w:val="20"/>
          <w:szCs w:val="20"/>
        </w:rPr>
        <w:t xml:space="preserve">e </w:t>
      </w:r>
      <w:r w:rsidR="00B720C3">
        <w:rPr>
          <w:rFonts w:ascii="Azo Sans" w:hAnsi="Azo Sans" w:cstheme="minorHAnsi"/>
          <w:sz w:val="20"/>
          <w:szCs w:val="20"/>
        </w:rPr>
        <w:t>agreement letter</w:t>
      </w:r>
      <w:r w:rsidR="00014A4D" w:rsidRPr="000E32F1">
        <w:rPr>
          <w:rFonts w:ascii="Azo Sans" w:hAnsi="Azo Sans" w:cstheme="minorHAnsi"/>
          <w:sz w:val="20"/>
          <w:szCs w:val="20"/>
        </w:rPr>
        <w:t xml:space="preserve"> </w:t>
      </w:r>
      <w:r w:rsidR="009F7082" w:rsidRPr="000E32F1">
        <w:rPr>
          <w:rFonts w:ascii="Azo Sans" w:hAnsi="Azo Sans" w:cstheme="minorHAnsi"/>
          <w:sz w:val="20"/>
          <w:szCs w:val="20"/>
        </w:rPr>
        <w:t>must</w:t>
      </w:r>
      <w:r w:rsidR="00014A4D" w:rsidRPr="000E32F1">
        <w:rPr>
          <w:rFonts w:ascii="Azo Sans" w:hAnsi="Azo Sans" w:cstheme="minorHAnsi"/>
          <w:sz w:val="20"/>
          <w:szCs w:val="20"/>
        </w:rPr>
        <w:t xml:space="preserve"> be signed and returned to </w:t>
      </w:r>
      <w:r w:rsidR="00F02B8B" w:rsidRPr="000E32F1">
        <w:rPr>
          <w:rFonts w:ascii="Azo Sans" w:hAnsi="Azo Sans" w:cstheme="minorHAnsi"/>
          <w:sz w:val="20"/>
          <w:szCs w:val="20"/>
        </w:rPr>
        <w:t>Visit Bloomington</w:t>
      </w:r>
      <w:r w:rsidR="00014A4D" w:rsidRPr="000E32F1">
        <w:rPr>
          <w:rFonts w:ascii="Azo Sans" w:hAnsi="Azo Sans" w:cstheme="minorHAnsi"/>
          <w:sz w:val="20"/>
          <w:szCs w:val="20"/>
        </w:rPr>
        <w:t xml:space="preserve"> prior to the organization receiving any reimbursement funding.</w:t>
      </w:r>
    </w:p>
    <w:p w14:paraId="64ACAF93" w14:textId="77777777" w:rsidR="0078793E" w:rsidRPr="00726D04" w:rsidRDefault="0078793E">
      <w:pPr>
        <w:pStyle w:val="BodyText"/>
        <w:rPr>
          <w:rFonts w:ascii="Azo Sans" w:hAnsi="Azo Sans" w:cstheme="minorHAnsi"/>
          <w:b/>
          <w:bCs/>
          <w:sz w:val="22"/>
          <w:szCs w:val="20"/>
        </w:rPr>
      </w:pPr>
    </w:p>
    <w:p w14:paraId="4FD881BA" w14:textId="77777777" w:rsidR="005562DE" w:rsidRPr="00FE102C" w:rsidRDefault="00297AF3" w:rsidP="00A53F51">
      <w:pPr>
        <w:pStyle w:val="Heading2"/>
        <w:spacing w:after="120"/>
        <w:rPr>
          <w:rFonts w:ascii="Azo Sans" w:hAnsi="Azo Sans" w:cstheme="minorHAnsi"/>
          <w:i w:val="0"/>
          <w:iCs w:val="0"/>
          <w:caps/>
          <w:sz w:val="22"/>
          <w:szCs w:val="20"/>
        </w:rPr>
      </w:pPr>
      <w:r w:rsidRPr="00FE102C">
        <w:rPr>
          <w:rFonts w:ascii="Azo Sans" w:hAnsi="Azo Sans" w:cstheme="minorHAnsi"/>
          <w:i w:val="0"/>
          <w:iCs w:val="0"/>
          <w:caps/>
          <w:sz w:val="22"/>
          <w:szCs w:val="20"/>
        </w:rPr>
        <w:t>APPLication guidelines</w:t>
      </w:r>
    </w:p>
    <w:p w14:paraId="3FF5A8EB" w14:textId="77777777" w:rsidR="003A4619" w:rsidRDefault="003A4619" w:rsidP="00686B01">
      <w:pPr>
        <w:numPr>
          <w:ilvl w:val="0"/>
          <w:numId w:val="18"/>
        </w:numPr>
        <w:spacing w:after="120"/>
        <w:rPr>
          <w:rFonts w:ascii="Azo Sans" w:hAnsi="Azo Sans" w:cstheme="minorHAnsi"/>
          <w:sz w:val="20"/>
          <w:szCs w:val="20"/>
        </w:rPr>
      </w:pPr>
      <w:r>
        <w:rPr>
          <w:rFonts w:ascii="Azo Sans" w:hAnsi="Azo Sans" w:cstheme="minorHAnsi"/>
          <w:sz w:val="20"/>
          <w:szCs w:val="20"/>
        </w:rPr>
        <w:t>Must be an organization seeking to produce and promote a well-defined tourism-oriented festival</w:t>
      </w:r>
      <w:r w:rsidR="0096003C">
        <w:rPr>
          <w:rFonts w:ascii="Azo Sans" w:hAnsi="Azo Sans" w:cstheme="minorHAnsi"/>
          <w:sz w:val="20"/>
          <w:szCs w:val="20"/>
        </w:rPr>
        <w:t xml:space="preserve"> or event</w:t>
      </w:r>
      <w:r>
        <w:rPr>
          <w:rFonts w:ascii="Azo Sans" w:hAnsi="Azo Sans" w:cstheme="minorHAnsi"/>
          <w:sz w:val="20"/>
          <w:szCs w:val="20"/>
        </w:rPr>
        <w:t>.</w:t>
      </w:r>
    </w:p>
    <w:p w14:paraId="4E5E0BDF" w14:textId="77777777" w:rsidR="00297AF3" w:rsidRDefault="00297AF3" w:rsidP="00686B01">
      <w:pPr>
        <w:numPr>
          <w:ilvl w:val="0"/>
          <w:numId w:val="18"/>
        </w:numPr>
        <w:spacing w:after="120"/>
        <w:rPr>
          <w:rFonts w:ascii="Azo Sans" w:hAnsi="Azo Sans" w:cstheme="minorHAnsi"/>
          <w:sz w:val="20"/>
          <w:szCs w:val="20"/>
        </w:rPr>
      </w:pPr>
      <w:r w:rsidRPr="000E32F1">
        <w:rPr>
          <w:rFonts w:ascii="Azo Sans" w:hAnsi="Azo Sans" w:cstheme="minorHAnsi"/>
          <w:sz w:val="20"/>
          <w:szCs w:val="20"/>
        </w:rPr>
        <w:t>An organization may submit only one application, requesting funds for one project/event.</w:t>
      </w:r>
    </w:p>
    <w:p w14:paraId="08FA5550" w14:textId="77777777" w:rsidR="00297AF3" w:rsidRDefault="00686B01" w:rsidP="00686B01">
      <w:pPr>
        <w:numPr>
          <w:ilvl w:val="0"/>
          <w:numId w:val="18"/>
        </w:numPr>
        <w:spacing w:after="120"/>
        <w:rPr>
          <w:rFonts w:ascii="Azo Sans" w:hAnsi="Azo Sans" w:cstheme="minorHAnsi"/>
          <w:sz w:val="20"/>
          <w:szCs w:val="20"/>
        </w:rPr>
      </w:pPr>
      <w:r w:rsidRPr="000E32F1">
        <w:rPr>
          <w:rFonts w:ascii="Azo Sans" w:hAnsi="Azo Sans" w:cstheme="minorHAnsi"/>
          <w:sz w:val="20"/>
          <w:szCs w:val="20"/>
        </w:rPr>
        <w:t>All events must be held within Monroe County</w:t>
      </w:r>
      <w:r w:rsidR="00297AF3">
        <w:rPr>
          <w:rFonts w:ascii="Azo Sans" w:hAnsi="Azo Sans" w:cstheme="minorHAnsi"/>
          <w:sz w:val="20"/>
          <w:szCs w:val="20"/>
        </w:rPr>
        <w:t xml:space="preserve">. </w:t>
      </w:r>
    </w:p>
    <w:p w14:paraId="06A795BD" w14:textId="2382035D" w:rsidR="00686B01" w:rsidRPr="000E32F1" w:rsidRDefault="00FC5F88" w:rsidP="00686B01">
      <w:pPr>
        <w:numPr>
          <w:ilvl w:val="0"/>
          <w:numId w:val="18"/>
        </w:numPr>
        <w:spacing w:after="120"/>
        <w:rPr>
          <w:rFonts w:ascii="Azo Sans" w:hAnsi="Azo Sans" w:cstheme="minorHAnsi"/>
          <w:sz w:val="20"/>
          <w:szCs w:val="20"/>
        </w:rPr>
      </w:pPr>
      <w:r>
        <w:rPr>
          <w:rFonts w:ascii="Azo Sans" w:hAnsi="Azo Sans" w:cstheme="minorHAnsi"/>
          <w:sz w:val="20"/>
          <w:szCs w:val="20"/>
        </w:rPr>
        <w:t>All e</w:t>
      </w:r>
      <w:r w:rsidR="00297AF3">
        <w:rPr>
          <w:rFonts w:ascii="Azo Sans" w:hAnsi="Azo Sans" w:cstheme="minorHAnsi"/>
          <w:sz w:val="20"/>
          <w:szCs w:val="20"/>
        </w:rPr>
        <w:t>vents must occur January 1, 202</w:t>
      </w:r>
      <w:r w:rsidR="00DD1369">
        <w:rPr>
          <w:rFonts w:ascii="Azo Sans" w:hAnsi="Azo Sans" w:cstheme="minorHAnsi"/>
          <w:sz w:val="20"/>
          <w:szCs w:val="20"/>
        </w:rPr>
        <w:t>1</w:t>
      </w:r>
      <w:r w:rsidR="00297AF3">
        <w:rPr>
          <w:rFonts w:ascii="Azo Sans" w:hAnsi="Azo Sans" w:cstheme="minorHAnsi"/>
          <w:sz w:val="20"/>
          <w:szCs w:val="20"/>
        </w:rPr>
        <w:t xml:space="preserve"> – December 31, 202</w:t>
      </w:r>
      <w:r w:rsidR="00DD1369">
        <w:rPr>
          <w:rFonts w:ascii="Azo Sans" w:hAnsi="Azo Sans" w:cstheme="minorHAnsi"/>
          <w:sz w:val="20"/>
          <w:szCs w:val="20"/>
        </w:rPr>
        <w:t>1</w:t>
      </w:r>
      <w:r w:rsidR="00686B01" w:rsidRPr="000E32F1">
        <w:rPr>
          <w:rFonts w:ascii="Azo Sans" w:hAnsi="Azo Sans" w:cstheme="minorHAnsi"/>
          <w:sz w:val="20"/>
          <w:szCs w:val="20"/>
        </w:rPr>
        <w:t>.</w:t>
      </w:r>
    </w:p>
    <w:p w14:paraId="6628258F" w14:textId="77777777" w:rsidR="00686B01" w:rsidRPr="000E32F1" w:rsidRDefault="00686B01" w:rsidP="00686B01">
      <w:pPr>
        <w:numPr>
          <w:ilvl w:val="0"/>
          <w:numId w:val="18"/>
        </w:numPr>
        <w:spacing w:after="120"/>
        <w:rPr>
          <w:rFonts w:ascii="Azo Sans" w:hAnsi="Azo Sans" w:cstheme="minorHAnsi"/>
          <w:sz w:val="20"/>
          <w:szCs w:val="20"/>
        </w:rPr>
      </w:pPr>
      <w:r w:rsidRPr="000E32F1">
        <w:rPr>
          <w:rFonts w:ascii="Azo Sans" w:hAnsi="Azo Sans" w:cstheme="minorHAnsi"/>
          <w:sz w:val="20"/>
          <w:szCs w:val="20"/>
        </w:rPr>
        <w:t>Events must be open to the general public, not exclusive in regard to attendance, and handicapped</w:t>
      </w:r>
      <w:bookmarkStart w:id="0" w:name="_GoBack"/>
      <w:bookmarkEnd w:id="0"/>
      <w:r w:rsidRPr="000E32F1">
        <w:rPr>
          <w:rFonts w:ascii="Azo Sans" w:hAnsi="Azo Sans" w:cstheme="minorHAnsi"/>
          <w:sz w:val="20"/>
          <w:szCs w:val="20"/>
        </w:rPr>
        <w:t xml:space="preserve"> and programmatically accessible.</w:t>
      </w:r>
    </w:p>
    <w:p w14:paraId="2D35DE1B" w14:textId="77777777" w:rsidR="00686B01" w:rsidRPr="00686B01" w:rsidRDefault="00686B01" w:rsidP="00686B01">
      <w:pPr>
        <w:numPr>
          <w:ilvl w:val="0"/>
          <w:numId w:val="18"/>
        </w:numPr>
        <w:spacing w:after="120"/>
        <w:rPr>
          <w:rFonts w:ascii="Azo Sans" w:hAnsi="Azo Sans" w:cstheme="minorHAnsi"/>
          <w:sz w:val="20"/>
          <w:szCs w:val="20"/>
        </w:rPr>
      </w:pPr>
      <w:r w:rsidRPr="000E32F1">
        <w:rPr>
          <w:rFonts w:ascii="Azo Sans" w:hAnsi="Azo Sans" w:cstheme="minorHAnsi"/>
          <w:sz w:val="20"/>
          <w:szCs w:val="20"/>
        </w:rPr>
        <w:t>No event may have as its primary purpose the promotion of a specific candida</w:t>
      </w:r>
      <w:r w:rsidR="00650F0A">
        <w:rPr>
          <w:rFonts w:ascii="Azo Sans" w:hAnsi="Azo Sans" w:cstheme="minorHAnsi"/>
          <w:sz w:val="20"/>
          <w:szCs w:val="20"/>
        </w:rPr>
        <w:t>te, political party or platform or promote lodging facilities outside Monroe County.</w:t>
      </w:r>
    </w:p>
    <w:p w14:paraId="06966EA7" w14:textId="77777777" w:rsidR="005562DE" w:rsidRPr="00650F0A" w:rsidRDefault="00FC5F88" w:rsidP="00650F0A">
      <w:pPr>
        <w:numPr>
          <w:ilvl w:val="0"/>
          <w:numId w:val="18"/>
        </w:numPr>
        <w:spacing w:after="120"/>
        <w:rPr>
          <w:rFonts w:ascii="Azo Sans" w:hAnsi="Azo Sans" w:cstheme="minorHAnsi"/>
          <w:sz w:val="20"/>
          <w:szCs w:val="20"/>
        </w:rPr>
      </w:pPr>
      <w:r>
        <w:rPr>
          <w:rFonts w:ascii="Azo Sans" w:hAnsi="Azo Sans" w:cstheme="minorHAnsi"/>
          <w:sz w:val="20"/>
          <w:szCs w:val="20"/>
        </w:rPr>
        <w:t>E</w:t>
      </w:r>
      <w:r w:rsidR="00686B01" w:rsidRPr="000E32F1">
        <w:rPr>
          <w:rFonts w:ascii="Azo Sans" w:hAnsi="Azo Sans" w:cstheme="minorHAnsi"/>
          <w:sz w:val="20"/>
          <w:szCs w:val="20"/>
        </w:rPr>
        <w:t>vents must</w:t>
      </w:r>
      <w:r w:rsidR="005C1F15">
        <w:rPr>
          <w:rFonts w:ascii="Azo Sans" w:hAnsi="Azo Sans" w:cstheme="minorHAnsi"/>
          <w:sz w:val="20"/>
          <w:szCs w:val="20"/>
        </w:rPr>
        <w:t xml:space="preserve"> directly increase hotel/motel occupancy and</w:t>
      </w:r>
      <w:r w:rsidR="00686B01" w:rsidRPr="000E32F1">
        <w:rPr>
          <w:rFonts w:ascii="Azo Sans" w:hAnsi="Azo Sans" w:cstheme="minorHAnsi"/>
          <w:sz w:val="20"/>
          <w:szCs w:val="20"/>
        </w:rPr>
        <w:t xml:space="preserve"> </w:t>
      </w:r>
      <w:r w:rsidR="005C1F15">
        <w:rPr>
          <w:rFonts w:ascii="Azo Sans" w:hAnsi="Azo Sans" w:cstheme="minorHAnsi"/>
          <w:sz w:val="20"/>
          <w:szCs w:val="20"/>
        </w:rPr>
        <w:t>designate</w:t>
      </w:r>
      <w:r w:rsidR="00686B01" w:rsidRPr="000E32F1">
        <w:rPr>
          <w:rFonts w:ascii="Azo Sans" w:hAnsi="Azo Sans" w:cstheme="minorHAnsi"/>
          <w:sz w:val="20"/>
          <w:szCs w:val="20"/>
        </w:rPr>
        <w:t xml:space="preserve"> a hotel partner or multiple hotel partners, through which they can offer a trackable room block (for artists/performers and attendees).  </w:t>
      </w:r>
    </w:p>
    <w:p w14:paraId="541FC306" w14:textId="77777777" w:rsidR="009940E9" w:rsidRDefault="00FC5F88" w:rsidP="009940E9">
      <w:pPr>
        <w:numPr>
          <w:ilvl w:val="0"/>
          <w:numId w:val="18"/>
        </w:numPr>
        <w:spacing w:after="120"/>
        <w:rPr>
          <w:rFonts w:ascii="Azo Sans" w:hAnsi="Azo Sans" w:cstheme="minorHAnsi"/>
          <w:sz w:val="20"/>
          <w:szCs w:val="22"/>
        </w:rPr>
      </w:pPr>
      <w:r>
        <w:rPr>
          <w:rFonts w:ascii="Azo Sans" w:hAnsi="Azo Sans" w:cstheme="minorHAnsi"/>
          <w:sz w:val="20"/>
          <w:szCs w:val="22"/>
        </w:rPr>
        <w:t xml:space="preserve">Events must provide </w:t>
      </w:r>
      <w:r w:rsidR="009940E9" w:rsidRPr="000E32F1">
        <w:rPr>
          <w:rFonts w:ascii="Azo Sans" w:hAnsi="Azo Sans" w:cstheme="minorHAnsi"/>
          <w:sz w:val="20"/>
          <w:szCs w:val="22"/>
        </w:rPr>
        <w:t>recognition</w:t>
      </w:r>
      <w:r>
        <w:rPr>
          <w:rFonts w:ascii="Azo Sans" w:hAnsi="Azo Sans" w:cstheme="minorHAnsi"/>
          <w:sz w:val="20"/>
          <w:szCs w:val="22"/>
        </w:rPr>
        <w:t xml:space="preserve"> to Visit Bloomington</w:t>
      </w:r>
      <w:r w:rsidR="009940E9" w:rsidRPr="000E32F1">
        <w:rPr>
          <w:rFonts w:ascii="Azo Sans" w:hAnsi="Azo Sans" w:cstheme="minorHAnsi"/>
          <w:sz w:val="20"/>
          <w:szCs w:val="22"/>
        </w:rPr>
        <w:t xml:space="preserve"> as an event </w:t>
      </w:r>
      <w:r w:rsidR="00297AF3">
        <w:rPr>
          <w:rFonts w:ascii="Azo Sans" w:hAnsi="Azo Sans" w:cstheme="minorHAnsi"/>
          <w:sz w:val="20"/>
          <w:szCs w:val="22"/>
        </w:rPr>
        <w:t xml:space="preserve">or promotional </w:t>
      </w:r>
      <w:r w:rsidR="009940E9" w:rsidRPr="000E32F1">
        <w:rPr>
          <w:rFonts w:ascii="Azo Sans" w:hAnsi="Azo Sans" w:cstheme="minorHAnsi"/>
          <w:sz w:val="20"/>
          <w:szCs w:val="22"/>
        </w:rPr>
        <w:t>sponsor</w:t>
      </w:r>
      <w:r w:rsidR="00297AF3">
        <w:rPr>
          <w:rFonts w:ascii="Azo Sans" w:hAnsi="Azo Sans" w:cstheme="minorHAnsi"/>
          <w:sz w:val="20"/>
          <w:szCs w:val="22"/>
        </w:rPr>
        <w:t xml:space="preserve"> and have website linked on your event and/or organization homepage</w:t>
      </w:r>
      <w:r w:rsidR="00686B01">
        <w:rPr>
          <w:rFonts w:ascii="Azo Sans" w:hAnsi="Azo Sans" w:cstheme="minorHAnsi"/>
          <w:sz w:val="20"/>
          <w:szCs w:val="22"/>
        </w:rPr>
        <w:t>.</w:t>
      </w:r>
      <w:r w:rsidR="009940E9" w:rsidRPr="000E32F1">
        <w:rPr>
          <w:rFonts w:ascii="Azo Sans" w:hAnsi="Azo Sans" w:cstheme="minorHAnsi"/>
          <w:sz w:val="20"/>
          <w:szCs w:val="22"/>
        </w:rPr>
        <w:t xml:space="preserve">  Visit Bloomington will </w:t>
      </w:r>
      <w:r w:rsidR="00686B01">
        <w:rPr>
          <w:rFonts w:ascii="Azo Sans" w:hAnsi="Azo Sans" w:cstheme="minorHAnsi"/>
          <w:sz w:val="20"/>
          <w:szCs w:val="22"/>
        </w:rPr>
        <w:t>supply</w:t>
      </w:r>
      <w:r w:rsidR="009940E9" w:rsidRPr="000E32F1">
        <w:rPr>
          <w:rFonts w:ascii="Azo Sans" w:hAnsi="Azo Sans" w:cstheme="minorHAnsi"/>
          <w:sz w:val="20"/>
          <w:szCs w:val="22"/>
        </w:rPr>
        <w:t xml:space="preserve"> logo</w:t>
      </w:r>
      <w:r w:rsidR="00686B01">
        <w:rPr>
          <w:rFonts w:ascii="Azo Sans" w:hAnsi="Azo Sans" w:cstheme="minorHAnsi"/>
          <w:sz w:val="20"/>
          <w:szCs w:val="22"/>
        </w:rPr>
        <w:t>s and trac</w:t>
      </w:r>
      <w:r w:rsidR="009940E9" w:rsidRPr="000E32F1">
        <w:rPr>
          <w:rFonts w:ascii="Azo Sans" w:hAnsi="Azo Sans" w:cstheme="minorHAnsi"/>
          <w:sz w:val="20"/>
          <w:szCs w:val="22"/>
        </w:rPr>
        <w:t>k</w:t>
      </w:r>
      <w:r w:rsidR="00686B01">
        <w:rPr>
          <w:rFonts w:ascii="Azo Sans" w:hAnsi="Azo Sans" w:cstheme="minorHAnsi"/>
          <w:sz w:val="20"/>
          <w:szCs w:val="22"/>
        </w:rPr>
        <w:t>able links.</w:t>
      </w:r>
      <w:r w:rsidR="009940E9" w:rsidRPr="000E32F1">
        <w:rPr>
          <w:rFonts w:ascii="Azo Sans" w:hAnsi="Azo Sans" w:cstheme="minorHAnsi"/>
          <w:sz w:val="20"/>
          <w:szCs w:val="22"/>
        </w:rPr>
        <w:t xml:space="preserve">  </w:t>
      </w:r>
    </w:p>
    <w:p w14:paraId="6189AC85" w14:textId="77777777" w:rsidR="009940E9" w:rsidRPr="009940E9" w:rsidRDefault="009940E9" w:rsidP="009940E9">
      <w:pPr>
        <w:numPr>
          <w:ilvl w:val="0"/>
          <w:numId w:val="18"/>
        </w:numPr>
        <w:spacing w:after="120"/>
        <w:rPr>
          <w:rFonts w:ascii="Azo Sans" w:hAnsi="Azo Sans" w:cstheme="minorHAnsi"/>
          <w:sz w:val="20"/>
          <w:szCs w:val="22"/>
        </w:rPr>
      </w:pPr>
      <w:r w:rsidRPr="000E32F1">
        <w:rPr>
          <w:rFonts w:ascii="Azo Sans" w:hAnsi="Azo Sans" w:cstheme="minorHAnsi"/>
          <w:sz w:val="20"/>
          <w:szCs w:val="22"/>
        </w:rPr>
        <w:t xml:space="preserve">Only marketing efforts running outside a 50-mile radius of Monroe County are eligible for funding. Indianapolis </w:t>
      </w:r>
      <w:r w:rsidRPr="00FC5F88">
        <w:rPr>
          <w:rFonts w:ascii="Azo Sans" w:hAnsi="Azo Sans" w:cstheme="minorHAnsi"/>
          <w:b/>
          <w:i/>
          <w:sz w:val="20"/>
          <w:szCs w:val="22"/>
        </w:rPr>
        <w:t>is</w:t>
      </w:r>
      <w:r w:rsidRPr="000E32F1">
        <w:rPr>
          <w:rFonts w:ascii="Azo Sans" w:hAnsi="Azo Sans" w:cstheme="minorHAnsi"/>
          <w:sz w:val="20"/>
          <w:szCs w:val="22"/>
        </w:rPr>
        <w:t xml:space="preserve"> an eligible market for grant funded projects.</w:t>
      </w:r>
    </w:p>
    <w:p w14:paraId="79AC675E" w14:textId="77777777" w:rsidR="00726D04" w:rsidRPr="00726D04" w:rsidRDefault="00726D04">
      <w:pPr>
        <w:rPr>
          <w:rFonts w:ascii="Azo Sans" w:hAnsi="Azo Sans" w:cstheme="minorHAnsi"/>
          <w:sz w:val="22"/>
          <w:szCs w:val="22"/>
        </w:rPr>
      </w:pPr>
    </w:p>
    <w:p w14:paraId="6606876B" w14:textId="77777777" w:rsidR="00686B01" w:rsidRPr="00FE102C" w:rsidRDefault="00686B01" w:rsidP="00F24D0E">
      <w:pPr>
        <w:rPr>
          <w:rFonts w:ascii="Azo Sans" w:hAnsi="Azo Sans" w:cstheme="minorHAnsi"/>
          <w:b/>
          <w:caps/>
          <w:sz w:val="22"/>
          <w:szCs w:val="20"/>
        </w:rPr>
      </w:pPr>
      <w:r w:rsidRPr="00FE102C">
        <w:rPr>
          <w:rFonts w:ascii="Azo Sans" w:hAnsi="Azo Sans" w:cstheme="minorHAnsi"/>
          <w:b/>
          <w:iCs/>
          <w:caps/>
          <w:sz w:val="22"/>
          <w:szCs w:val="20"/>
        </w:rPr>
        <w:t>IMPORTANT DETAILS</w:t>
      </w:r>
    </w:p>
    <w:p w14:paraId="238600E5" w14:textId="77777777" w:rsidR="00F24D0E" w:rsidRPr="00F24D0E" w:rsidRDefault="00F24D0E" w:rsidP="00F24D0E">
      <w:pPr>
        <w:rPr>
          <w:rFonts w:ascii="Decour" w:hAnsi="Decour" w:cstheme="minorHAnsi"/>
          <w:caps/>
          <w:szCs w:val="20"/>
          <w:u w:val="single"/>
        </w:rPr>
      </w:pPr>
    </w:p>
    <w:p w14:paraId="66DD0FAE" w14:textId="77777777" w:rsidR="00A95A66" w:rsidRDefault="00A95A66" w:rsidP="00A95A66">
      <w:pPr>
        <w:pStyle w:val="BodyText2"/>
        <w:numPr>
          <w:ilvl w:val="0"/>
          <w:numId w:val="1"/>
        </w:numPr>
        <w:rPr>
          <w:rFonts w:ascii="Azo Sans" w:hAnsi="Azo Sans" w:cstheme="minorHAnsi"/>
          <w:b w:val="0"/>
          <w:bCs w:val="0"/>
          <w:sz w:val="20"/>
          <w:szCs w:val="20"/>
        </w:rPr>
      </w:pPr>
      <w:r w:rsidRPr="000E32F1">
        <w:rPr>
          <w:rFonts w:ascii="Azo Sans" w:hAnsi="Azo Sans" w:cstheme="minorHAnsi"/>
          <w:b w:val="0"/>
          <w:sz w:val="20"/>
          <w:szCs w:val="20"/>
        </w:rPr>
        <w:t xml:space="preserve">Applicants are urged to schedule their events at times of the year when hotel occupancy rates are not at a peak in Bloomington.  </w:t>
      </w:r>
      <w:r>
        <w:rPr>
          <w:rFonts w:ascii="Azo Sans" w:hAnsi="Azo Sans" w:cstheme="minorHAnsi"/>
          <w:b w:val="0"/>
          <w:sz w:val="20"/>
          <w:szCs w:val="20"/>
        </w:rPr>
        <w:t>Event dates</w:t>
      </w:r>
      <w:r w:rsidRPr="000E32F1">
        <w:rPr>
          <w:rFonts w:ascii="Azo Sans" w:hAnsi="Azo Sans" w:cstheme="minorHAnsi"/>
          <w:b w:val="0"/>
          <w:sz w:val="20"/>
          <w:szCs w:val="20"/>
        </w:rPr>
        <w:t xml:space="preserve"> will be considered in the evaluation criteria when applications are scored.  </w:t>
      </w:r>
    </w:p>
    <w:p w14:paraId="49AF72C8" w14:textId="77777777" w:rsidR="00726D04" w:rsidRPr="00726D04" w:rsidRDefault="00726D04" w:rsidP="00726D04">
      <w:pPr>
        <w:pStyle w:val="BodyText2"/>
        <w:ind w:left="720"/>
        <w:rPr>
          <w:rFonts w:ascii="Azo Sans" w:hAnsi="Azo Sans" w:cstheme="minorHAnsi"/>
          <w:b w:val="0"/>
          <w:bCs w:val="0"/>
          <w:sz w:val="20"/>
          <w:szCs w:val="20"/>
        </w:rPr>
      </w:pPr>
    </w:p>
    <w:p w14:paraId="6AD34410" w14:textId="77777777" w:rsidR="0078793E" w:rsidRDefault="00D00BFA" w:rsidP="00EC452B">
      <w:pPr>
        <w:numPr>
          <w:ilvl w:val="0"/>
          <w:numId w:val="1"/>
        </w:numPr>
        <w:spacing w:after="120"/>
        <w:rPr>
          <w:rFonts w:ascii="Azo Sans" w:hAnsi="Azo Sans" w:cstheme="minorHAnsi"/>
          <w:sz w:val="20"/>
          <w:szCs w:val="20"/>
        </w:rPr>
      </w:pPr>
      <w:r w:rsidRPr="000E32F1">
        <w:rPr>
          <w:rFonts w:ascii="Azo Sans" w:hAnsi="Azo Sans" w:cstheme="minorHAnsi"/>
          <w:sz w:val="20"/>
          <w:szCs w:val="20"/>
        </w:rPr>
        <w:lastRenderedPageBreak/>
        <w:t xml:space="preserve">Events that have been awarded grant funding three times must apply for new projects, which </w:t>
      </w:r>
      <w:r w:rsidR="00712216">
        <w:rPr>
          <w:rFonts w:ascii="Azo Sans" w:hAnsi="Azo Sans" w:cstheme="minorHAnsi"/>
          <w:sz w:val="20"/>
          <w:szCs w:val="20"/>
        </w:rPr>
        <w:t>may</w:t>
      </w:r>
      <w:r w:rsidRPr="000E32F1">
        <w:rPr>
          <w:rFonts w:ascii="Azo Sans" w:hAnsi="Azo Sans" w:cstheme="minorHAnsi"/>
          <w:sz w:val="20"/>
          <w:szCs w:val="20"/>
        </w:rPr>
        <w:t xml:space="preserve"> include new target markets or new </w:t>
      </w:r>
      <w:r w:rsidR="00FC5F88">
        <w:rPr>
          <w:rFonts w:ascii="Azo Sans" w:hAnsi="Azo Sans" w:cstheme="minorHAnsi"/>
          <w:sz w:val="20"/>
          <w:szCs w:val="20"/>
        </w:rPr>
        <w:t>media outlets</w:t>
      </w:r>
      <w:r w:rsidRPr="000E32F1">
        <w:rPr>
          <w:rFonts w:ascii="Azo Sans" w:hAnsi="Azo Sans" w:cstheme="minorHAnsi"/>
          <w:sz w:val="20"/>
          <w:szCs w:val="20"/>
        </w:rPr>
        <w:t xml:space="preserve">.  Funding will not be awarded for the same </w:t>
      </w:r>
      <w:r w:rsidR="00FC5F88">
        <w:rPr>
          <w:rFonts w:ascii="Azo Sans" w:hAnsi="Azo Sans" w:cstheme="minorHAnsi"/>
          <w:sz w:val="20"/>
          <w:szCs w:val="20"/>
        </w:rPr>
        <w:t>markets/outlets</w:t>
      </w:r>
      <w:r w:rsidRPr="000E32F1">
        <w:rPr>
          <w:rFonts w:ascii="Azo Sans" w:hAnsi="Azo Sans" w:cstheme="minorHAnsi"/>
          <w:sz w:val="20"/>
          <w:szCs w:val="20"/>
        </w:rPr>
        <w:t xml:space="preserve"> more than three times.</w:t>
      </w:r>
    </w:p>
    <w:p w14:paraId="45E6F8BF" w14:textId="77777777" w:rsidR="00650F0A" w:rsidRPr="00650F0A" w:rsidRDefault="00650F0A" w:rsidP="00650F0A">
      <w:pPr>
        <w:numPr>
          <w:ilvl w:val="0"/>
          <w:numId w:val="1"/>
        </w:numPr>
        <w:spacing w:after="120"/>
        <w:rPr>
          <w:rFonts w:ascii="Azo Sans" w:hAnsi="Azo Sans" w:cstheme="minorHAnsi"/>
          <w:sz w:val="20"/>
          <w:szCs w:val="20"/>
        </w:rPr>
      </w:pPr>
      <w:r>
        <w:rPr>
          <w:rFonts w:ascii="Azo Sans" w:hAnsi="Azo Sans" w:cstheme="minorHAnsi"/>
          <w:sz w:val="20"/>
          <w:szCs w:val="20"/>
        </w:rPr>
        <w:t>Events must designate a project manager</w:t>
      </w:r>
      <w:r w:rsidRPr="000E32F1">
        <w:rPr>
          <w:rFonts w:ascii="Azo Sans" w:hAnsi="Azo Sans" w:cstheme="minorHAnsi"/>
          <w:sz w:val="20"/>
          <w:szCs w:val="20"/>
        </w:rPr>
        <w:t xml:space="preserve"> </w:t>
      </w:r>
      <w:r>
        <w:rPr>
          <w:rFonts w:ascii="Azo Sans" w:hAnsi="Azo Sans" w:cstheme="minorHAnsi"/>
          <w:sz w:val="20"/>
          <w:szCs w:val="20"/>
        </w:rPr>
        <w:t>to serve as the primary liaison to Visit Bloomington for any/all inquiries relating to the a</w:t>
      </w:r>
      <w:r w:rsidRPr="000E32F1">
        <w:rPr>
          <w:rFonts w:ascii="Azo Sans" w:hAnsi="Azo Sans" w:cstheme="minorHAnsi"/>
          <w:sz w:val="20"/>
          <w:szCs w:val="20"/>
        </w:rPr>
        <w:t>pplication</w:t>
      </w:r>
      <w:r>
        <w:rPr>
          <w:rFonts w:ascii="Azo Sans" w:hAnsi="Azo Sans" w:cstheme="minorHAnsi"/>
          <w:sz w:val="20"/>
          <w:szCs w:val="20"/>
        </w:rPr>
        <w:t>,</w:t>
      </w:r>
      <w:r w:rsidRPr="000E32F1">
        <w:rPr>
          <w:rFonts w:ascii="Azo Sans" w:hAnsi="Azo Sans" w:cstheme="minorHAnsi"/>
          <w:sz w:val="20"/>
          <w:szCs w:val="20"/>
        </w:rPr>
        <w:t xml:space="preserve"> event</w:t>
      </w:r>
      <w:r>
        <w:rPr>
          <w:rFonts w:ascii="Azo Sans" w:hAnsi="Azo Sans" w:cstheme="minorHAnsi"/>
          <w:sz w:val="20"/>
          <w:szCs w:val="20"/>
        </w:rPr>
        <w:t>, and reimbursement forms</w:t>
      </w:r>
      <w:r w:rsidRPr="000E32F1">
        <w:rPr>
          <w:rFonts w:ascii="Azo Sans" w:hAnsi="Azo Sans" w:cstheme="minorHAnsi"/>
          <w:sz w:val="20"/>
          <w:szCs w:val="20"/>
        </w:rPr>
        <w:t>.</w:t>
      </w:r>
      <w:r>
        <w:rPr>
          <w:rFonts w:ascii="Azo Sans" w:hAnsi="Azo Sans" w:cstheme="minorHAnsi"/>
          <w:sz w:val="20"/>
          <w:szCs w:val="20"/>
        </w:rPr>
        <w:t xml:space="preserve">  </w:t>
      </w:r>
    </w:p>
    <w:p w14:paraId="48E1969F" w14:textId="77777777" w:rsidR="0078793E" w:rsidRPr="000E32F1" w:rsidRDefault="00D00BFA" w:rsidP="00EC452B">
      <w:pPr>
        <w:numPr>
          <w:ilvl w:val="0"/>
          <w:numId w:val="1"/>
        </w:numPr>
        <w:spacing w:after="120"/>
        <w:rPr>
          <w:rFonts w:ascii="Azo Sans" w:hAnsi="Azo Sans" w:cstheme="minorHAnsi"/>
          <w:sz w:val="20"/>
          <w:szCs w:val="20"/>
        </w:rPr>
      </w:pPr>
      <w:r w:rsidRPr="000E32F1">
        <w:rPr>
          <w:rFonts w:ascii="Azo Sans" w:hAnsi="Azo Sans" w:cstheme="minorHAnsi"/>
          <w:sz w:val="20"/>
          <w:szCs w:val="20"/>
        </w:rPr>
        <w:t xml:space="preserve">If an event has a history of </w:t>
      </w:r>
      <w:r w:rsidR="0041671D" w:rsidRPr="000E32F1">
        <w:rPr>
          <w:rFonts w:ascii="Azo Sans" w:hAnsi="Azo Sans" w:cstheme="minorHAnsi"/>
          <w:sz w:val="20"/>
          <w:szCs w:val="20"/>
        </w:rPr>
        <w:t xml:space="preserve">attendees or participants creating </w:t>
      </w:r>
      <w:r w:rsidRPr="000E32F1">
        <w:rPr>
          <w:rFonts w:ascii="Azo Sans" w:hAnsi="Azo Sans" w:cstheme="minorHAnsi"/>
          <w:sz w:val="20"/>
          <w:szCs w:val="20"/>
        </w:rPr>
        <w:t>negative experiences or damages to Monroe</w:t>
      </w:r>
      <w:r w:rsidR="0041671D" w:rsidRPr="000E32F1">
        <w:rPr>
          <w:rFonts w:ascii="Azo Sans" w:hAnsi="Azo Sans" w:cstheme="minorHAnsi"/>
          <w:sz w:val="20"/>
          <w:szCs w:val="20"/>
        </w:rPr>
        <w:t xml:space="preserve"> County lodging, restaurant or attraction partners, funding may be affected.  </w:t>
      </w:r>
    </w:p>
    <w:p w14:paraId="115C266F" w14:textId="77777777" w:rsidR="00726D04" w:rsidRDefault="00317D14" w:rsidP="00726D04">
      <w:pPr>
        <w:numPr>
          <w:ilvl w:val="0"/>
          <w:numId w:val="1"/>
        </w:numPr>
        <w:spacing w:after="120"/>
        <w:rPr>
          <w:rFonts w:ascii="Azo Sans" w:hAnsi="Azo Sans" w:cstheme="minorHAnsi"/>
          <w:sz w:val="20"/>
          <w:szCs w:val="22"/>
        </w:rPr>
      </w:pPr>
      <w:r w:rsidRPr="000E32F1">
        <w:rPr>
          <w:rFonts w:ascii="Azo Sans" w:hAnsi="Azo Sans" w:cstheme="minorHAnsi"/>
          <w:sz w:val="20"/>
          <w:szCs w:val="22"/>
        </w:rPr>
        <w:t xml:space="preserve">Each organization receiving grant funding </w:t>
      </w:r>
      <w:r w:rsidR="00ED01CC" w:rsidRPr="000E32F1">
        <w:rPr>
          <w:rFonts w:ascii="Azo Sans" w:hAnsi="Azo Sans" w:cstheme="minorHAnsi"/>
          <w:sz w:val="20"/>
          <w:szCs w:val="22"/>
        </w:rPr>
        <w:t>is encouraged to conduct surveys to capture information on attendees, including demographic information, spending habits, event satisfaction, and how they heard about the event.  Visit Bloomington can offer assistance in building the survey and provide suggestions on how to implement it.</w:t>
      </w:r>
    </w:p>
    <w:p w14:paraId="173B2D8B" w14:textId="77777777" w:rsidR="00726D04" w:rsidRPr="00726D04" w:rsidRDefault="00726D04" w:rsidP="00726D04">
      <w:pPr>
        <w:rPr>
          <w:rFonts w:ascii="Decour" w:hAnsi="Decour"/>
          <w:sz w:val="22"/>
        </w:rPr>
      </w:pPr>
    </w:p>
    <w:p w14:paraId="544EF055" w14:textId="77777777" w:rsidR="00726D04" w:rsidRPr="00FE102C" w:rsidRDefault="00FE102C" w:rsidP="00726D04">
      <w:pPr>
        <w:pStyle w:val="Heading2"/>
        <w:rPr>
          <w:rFonts w:ascii="Azo Sans" w:hAnsi="Azo Sans" w:cstheme="minorHAnsi"/>
          <w:i w:val="0"/>
          <w:iCs w:val="0"/>
          <w:caps/>
          <w:sz w:val="22"/>
        </w:rPr>
      </w:pPr>
      <w:r>
        <w:rPr>
          <w:rFonts w:ascii="Azo Sans" w:hAnsi="Azo Sans" w:cstheme="minorHAnsi"/>
          <w:i w:val="0"/>
          <w:iCs w:val="0"/>
          <w:caps/>
          <w:sz w:val="22"/>
        </w:rPr>
        <w:t>Qualifying Applicants</w:t>
      </w:r>
    </w:p>
    <w:p w14:paraId="7366C79D" w14:textId="77777777" w:rsidR="00726D04" w:rsidRDefault="00726D04" w:rsidP="00726D04">
      <w:pPr>
        <w:pStyle w:val="BodyText"/>
        <w:spacing w:before="120"/>
        <w:rPr>
          <w:rFonts w:ascii="Azo Sans" w:hAnsi="Azo Sans" w:cstheme="minorHAnsi"/>
          <w:sz w:val="20"/>
          <w:szCs w:val="22"/>
        </w:rPr>
      </w:pPr>
      <w:r w:rsidRPr="000E32F1">
        <w:rPr>
          <w:rFonts w:ascii="Azo Sans" w:hAnsi="Azo Sans" w:cstheme="minorHAnsi"/>
          <w:sz w:val="20"/>
          <w:szCs w:val="22"/>
        </w:rPr>
        <w:t xml:space="preserve">Grant funds are issued to qualifying applicants through a reimbursement process.  </w:t>
      </w:r>
      <w:r>
        <w:rPr>
          <w:rFonts w:ascii="Azo Sans" w:hAnsi="Azo Sans" w:cstheme="minorHAnsi"/>
          <w:sz w:val="20"/>
          <w:szCs w:val="22"/>
        </w:rPr>
        <w:t>In order to receive reimbursement, applicants must:</w:t>
      </w:r>
    </w:p>
    <w:p w14:paraId="4904D0F7" w14:textId="77777777" w:rsidR="00726D04" w:rsidRPr="005A33F3" w:rsidRDefault="00726D04" w:rsidP="00726D04">
      <w:pPr>
        <w:pStyle w:val="BodyText"/>
        <w:numPr>
          <w:ilvl w:val="0"/>
          <w:numId w:val="17"/>
        </w:numPr>
        <w:spacing w:before="120"/>
        <w:rPr>
          <w:rFonts w:ascii="Azo Sans" w:hAnsi="Azo Sans" w:cstheme="minorHAnsi"/>
          <w:sz w:val="20"/>
          <w:szCs w:val="22"/>
        </w:rPr>
      </w:pPr>
      <w:r>
        <w:rPr>
          <w:rFonts w:ascii="Azo Sans" w:hAnsi="Azo Sans" w:cstheme="minorHAnsi"/>
          <w:sz w:val="20"/>
          <w:szCs w:val="22"/>
        </w:rPr>
        <w:t>Supply p</w:t>
      </w:r>
      <w:r w:rsidRPr="005A33F3">
        <w:rPr>
          <w:rFonts w:ascii="Azo Sans" w:hAnsi="Azo Sans" w:cstheme="minorHAnsi"/>
          <w:sz w:val="20"/>
          <w:szCs w:val="22"/>
        </w:rPr>
        <w:t>roof of event liability insurance, including a certificate adding Visit Bloo</w:t>
      </w:r>
      <w:r>
        <w:rPr>
          <w:rFonts w:ascii="Azo Sans" w:hAnsi="Azo Sans" w:cstheme="minorHAnsi"/>
          <w:sz w:val="20"/>
          <w:szCs w:val="22"/>
        </w:rPr>
        <w:t xml:space="preserve">mington to the </w:t>
      </w:r>
      <w:r w:rsidRPr="005A33F3">
        <w:rPr>
          <w:rFonts w:ascii="Azo Sans" w:hAnsi="Azo Sans" w:cstheme="minorHAnsi"/>
          <w:sz w:val="20"/>
          <w:szCs w:val="22"/>
        </w:rPr>
        <w:t>event’s liability policy</w:t>
      </w:r>
      <w:r>
        <w:rPr>
          <w:rFonts w:ascii="Azo Sans" w:hAnsi="Azo Sans" w:cstheme="minorHAnsi"/>
          <w:sz w:val="20"/>
          <w:szCs w:val="22"/>
        </w:rPr>
        <w:t xml:space="preserve"> prior to event.</w:t>
      </w:r>
      <w:r w:rsidRPr="005A33F3">
        <w:rPr>
          <w:rFonts w:ascii="Azo Sans" w:hAnsi="Azo Sans" w:cstheme="minorHAnsi"/>
          <w:sz w:val="20"/>
          <w:szCs w:val="22"/>
        </w:rPr>
        <w:t xml:space="preserve"> </w:t>
      </w:r>
    </w:p>
    <w:p w14:paraId="58D1622E" w14:textId="77777777" w:rsidR="00726D04" w:rsidRDefault="00726D04" w:rsidP="00726D04">
      <w:pPr>
        <w:pStyle w:val="BodyText"/>
        <w:numPr>
          <w:ilvl w:val="0"/>
          <w:numId w:val="17"/>
        </w:numPr>
        <w:spacing w:before="120"/>
        <w:rPr>
          <w:rFonts w:ascii="Azo Sans" w:hAnsi="Azo Sans" w:cstheme="minorHAnsi"/>
          <w:sz w:val="20"/>
          <w:szCs w:val="22"/>
        </w:rPr>
      </w:pPr>
      <w:r>
        <w:rPr>
          <w:rFonts w:ascii="Azo Sans" w:hAnsi="Azo Sans" w:cstheme="minorHAnsi"/>
          <w:sz w:val="20"/>
          <w:szCs w:val="22"/>
        </w:rPr>
        <w:t>S</w:t>
      </w:r>
      <w:r w:rsidRPr="000E32F1">
        <w:rPr>
          <w:rFonts w:ascii="Azo Sans" w:hAnsi="Azo Sans" w:cstheme="minorHAnsi"/>
          <w:sz w:val="20"/>
          <w:szCs w:val="22"/>
        </w:rPr>
        <w:t xml:space="preserve">ubmit </w:t>
      </w:r>
      <w:r>
        <w:rPr>
          <w:rFonts w:ascii="Azo Sans" w:hAnsi="Azo Sans" w:cstheme="minorHAnsi"/>
          <w:sz w:val="20"/>
          <w:szCs w:val="22"/>
        </w:rPr>
        <w:t>completed</w:t>
      </w:r>
      <w:r w:rsidRPr="000E32F1">
        <w:rPr>
          <w:rFonts w:ascii="Azo Sans" w:hAnsi="Azo Sans" w:cstheme="minorHAnsi"/>
          <w:sz w:val="20"/>
          <w:szCs w:val="22"/>
        </w:rPr>
        <w:t xml:space="preserve"> reimbursement form</w:t>
      </w:r>
      <w:r>
        <w:rPr>
          <w:rFonts w:ascii="Azo Sans" w:hAnsi="Azo Sans" w:cstheme="minorHAnsi"/>
          <w:sz w:val="20"/>
          <w:szCs w:val="22"/>
        </w:rPr>
        <w:t>s</w:t>
      </w:r>
      <w:r w:rsidRPr="000E32F1">
        <w:rPr>
          <w:rFonts w:ascii="Azo Sans" w:hAnsi="Azo Sans" w:cstheme="minorHAnsi"/>
          <w:sz w:val="20"/>
          <w:szCs w:val="22"/>
        </w:rPr>
        <w:t xml:space="preserve"> </w:t>
      </w:r>
      <w:r>
        <w:rPr>
          <w:rFonts w:ascii="Azo Sans" w:hAnsi="Azo Sans" w:cstheme="minorHAnsi"/>
          <w:sz w:val="20"/>
          <w:szCs w:val="22"/>
        </w:rPr>
        <w:t xml:space="preserve">and proof of payment for all eligible grant expenditures within 90 days after funded event occurs. </w:t>
      </w:r>
      <w:r w:rsidRPr="005A33F3">
        <w:rPr>
          <w:rFonts w:ascii="Azo Sans" w:hAnsi="Azo Sans" w:cstheme="minorHAnsi"/>
          <w:sz w:val="20"/>
          <w:szCs w:val="22"/>
        </w:rPr>
        <w:t xml:space="preserve"> </w:t>
      </w:r>
    </w:p>
    <w:p w14:paraId="73B05F5E" w14:textId="77777777" w:rsidR="00726D04" w:rsidRDefault="00726D04" w:rsidP="00726D04">
      <w:pPr>
        <w:pStyle w:val="BodyText"/>
        <w:numPr>
          <w:ilvl w:val="0"/>
          <w:numId w:val="17"/>
        </w:numPr>
        <w:spacing w:before="120"/>
        <w:rPr>
          <w:rFonts w:ascii="Azo Sans" w:hAnsi="Azo Sans" w:cstheme="minorHAnsi"/>
          <w:sz w:val="20"/>
          <w:szCs w:val="22"/>
        </w:rPr>
      </w:pPr>
      <w:r>
        <w:rPr>
          <w:rFonts w:ascii="Azo Sans" w:hAnsi="Azo Sans" w:cstheme="minorHAnsi"/>
          <w:sz w:val="20"/>
          <w:szCs w:val="22"/>
        </w:rPr>
        <w:t xml:space="preserve">Complete a post-event summary form, provided by Visit Bloomington, within 90 days after funded event occurs.  All fields are required.    </w:t>
      </w:r>
    </w:p>
    <w:p w14:paraId="50477F20" w14:textId="77777777" w:rsidR="00726D04" w:rsidRDefault="00726D04" w:rsidP="00726D04">
      <w:pPr>
        <w:pStyle w:val="BodyText"/>
        <w:spacing w:before="120"/>
        <w:rPr>
          <w:rFonts w:ascii="Azo Sans" w:hAnsi="Azo Sans" w:cstheme="minorHAnsi"/>
          <w:sz w:val="20"/>
          <w:szCs w:val="22"/>
        </w:rPr>
      </w:pPr>
      <w:r w:rsidRPr="000E32F1">
        <w:rPr>
          <w:rFonts w:ascii="Azo Sans" w:hAnsi="Azo Sans" w:cstheme="minorHAnsi"/>
          <w:sz w:val="20"/>
          <w:szCs w:val="22"/>
        </w:rPr>
        <w:t>Visit Bloomington reserves the right to provide funding to organizations outside of th</w:t>
      </w:r>
      <w:r>
        <w:rPr>
          <w:rFonts w:ascii="Azo Sans" w:hAnsi="Azo Sans" w:cstheme="minorHAnsi"/>
          <w:sz w:val="20"/>
          <w:szCs w:val="22"/>
        </w:rPr>
        <w:t xml:space="preserve">e grant program.  This funding does </w:t>
      </w:r>
      <w:r w:rsidRPr="000E32F1">
        <w:rPr>
          <w:rFonts w:ascii="Azo Sans" w:hAnsi="Azo Sans" w:cstheme="minorHAnsi"/>
          <w:sz w:val="20"/>
          <w:szCs w:val="22"/>
        </w:rPr>
        <w:t xml:space="preserve">not affect the </w:t>
      </w:r>
      <w:r>
        <w:rPr>
          <w:rFonts w:ascii="Azo Sans" w:hAnsi="Azo Sans" w:cstheme="minorHAnsi"/>
          <w:sz w:val="20"/>
          <w:szCs w:val="22"/>
        </w:rPr>
        <w:t>Emerging and Established Event</w:t>
      </w:r>
      <w:r w:rsidRPr="000E32F1">
        <w:rPr>
          <w:rFonts w:ascii="Azo Sans" w:hAnsi="Azo Sans" w:cstheme="minorHAnsi"/>
          <w:sz w:val="20"/>
          <w:szCs w:val="22"/>
        </w:rPr>
        <w:t xml:space="preserve"> funds.  Any outside funding provided will be at the discretion of Visit Bloomington.</w:t>
      </w:r>
      <w:r>
        <w:rPr>
          <w:rFonts w:ascii="Azo Sans" w:hAnsi="Azo Sans" w:cstheme="minorHAnsi"/>
          <w:sz w:val="20"/>
          <w:szCs w:val="22"/>
        </w:rPr>
        <w:t xml:space="preserve">  Reimbursements will be issued within 60 days of receiving completed reimbursement forms. </w:t>
      </w:r>
    </w:p>
    <w:p w14:paraId="61E4D0B4" w14:textId="77777777" w:rsidR="00726D04" w:rsidRPr="00726D04" w:rsidRDefault="00726D04" w:rsidP="00726D04">
      <w:pPr>
        <w:rPr>
          <w:rFonts w:ascii="Decour" w:hAnsi="Decour"/>
          <w:sz w:val="22"/>
        </w:rPr>
      </w:pPr>
    </w:p>
    <w:p w14:paraId="222780AE" w14:textId="77777777" w:rsidR="0078793E" w:rsidRPr="00FE102C" w:rsidRDefault="00EC452B" w:rsidP="00EC452B">
      <w:pPr>
        <w:spacing w:after="120"/>
        <w:rPr>
          <w:rFonts w:ascii="Azo Sans" w:hAnsi="Azo Sans" w:cstheme="minorHAnsi"/>
          <w:b/>
          <w:caps/>
          <w:sz w:val="22"/>
          <w:szCs w:val="22"/>
        </w:rPr>
      </w:pPr>
      <w:r w:rsidRPr="00FE102C">
        <w:rPr>
          <w:rFonts w:ascii="Azo Sans" w:hAnsi="Azo Sans" w:cstheme="minorHAnsi"/>
          <w:b/>
          <w:caps/>
          <w:sz w:val="22"/>
        </w:rPr>
        <w:t xml:space="preserve">Eligible </w:t>
      </w:r>
      <w:r w:rsidR="000E32F1" w:rsidRPr="00FE102C">
        <w:rPr>
          <w:rFonts w:ascii="Azo Sans" w:hAnsi="Azo Sans" w:cstheme="minorHAnsi"/>
          <w:b/>
          <w:caps/>
          <w:sz w:val="22"/>
        </w:rPr>
        <w:t xml:space="preserve">Reimbursement </w:t>
      </w:r>
      <w:r w:rsidRPr="00FE102C">
        <w:rPr>
          <w:rFonts w:ascii="Azo Sans" w:hAnsi="Azo Sans" w:cstheme="minorHAnsi"/>
          <w:b/>
          <w:caps/>
          <w:sz w:val="22"/>
        </w:rPr>
        <w:t>Expenditures</w:t>
      </w:r>
    </w:p>
    <w:p w14:paraId="60804D47" w14:textId="77777777" w:rsidR="00916662" w:rsidRPr="000E32F1" w:rsidRDefault="0078793E" w:rsidP="00A53F51">
      <w:pPr>
        <w:numPr>
          <w:ilvl w:val="0"/>
          <w:numId w:val="7"/>
        </w:numPr>
        <w:spacing w:after="120"/>
        <w:rPr>
          <w:rFonts w:ascii="Azo Sans" w:hAnsi="Azo Sans" w:cstheme="minorHAnsi"/>
          <w:sz w:val="20"/>
          <w:szCs w:val="22"/>
        </w:rPr>
      </w:pPr>
      <w:r w:rsidRPr="000E32F1">
        <w:rPr>
          <w:rFonts w:ascii="Azo Sans" w:hAnsi="Azo Sans" w:cstheme="minorHAnsi"/>
          <w:sz w:val="20"/>
          <w:szCs w:val="22"/>
        </w:rPr>
        <w:t>Advertising</w:t>
      </w:r>
      <w:r w:rsidR="00FC5F88">
        <w:rPr>
          <w:rFonts w:ascii="Azo Sans" w:hAnsi="Azo Sans" w:cstheme="minorHAnsi"/>
          <w:sz w:val="20"/>
          <w:szCs w:val="22"/>
        </w:rPr>
        <w:t xml:space="preserve"> (print, social media, web display, </w:t>
      </w:r>
      <w:r w:rsidR="00FE102C">
        <w:rPr>
          <w:rFonts w:ascii="Azo Sans" w:hAnsi="Azo Sans" w:cstheme="minorHAnsi"/>
          <w:sz w:val="20"/>
          <w:szCs w:val="22"/>
        </w:rPr>
        <w:t xml:space="preserve">outdoor, </w:t>
      </w:r>
      <w:r w:rsidR="00FC5F88">
        <w:rPr>
          <w:rFonts w:ascii="Azo Sans" w:hAnsi="Azo Sans" w:cstheme="minorHAnsi"/>
          <w:sz w:val="20"/>
          <w:szCs w:val="22"/>
        </w:rPr>
        <w:t>and radio)</w:t>
      </w:r>
      <w:r w:rsidRPr="000E32F1">
        <w:rPr>
          <w:rFonts w:ascii="Azo Sans" w:hAnsi="Azo Sans" w:cstheme="minorHAnsi"/>
          <w:sz w:val="20"/>
          <w:szCs w:val="22"/>
        </w:rPr>
        <w:t xml:space="preserve"> </w:t>
      </w:r>
      <w:r w:rsidR="00916662" w:rsidRPr="000E32F1">
        <w:rPr>
          <w:rFonts w:ascii="Azo Sans" w:hAnsi="Azo Sans" w:cstheme="minorHAnsi"/>
          <w:sz w:val="20"/>
          <w:szCs w:val="22"/>
        </w:rPr>
        <w:t xml:space="preserve">placed </w:t>
      </w:r>
      <w:r w:rsidR="00C71F78" w:rsidRPr="000E32F1">
        <w:rPr>
          <w:rFonts w:ascii="Azo Sans" w:hAnsi="Azo Sans" w:cstheme="minorHAnsi"/>
          <w:sz w:val="20"/>
          <w:szCs w:val="22"/>
        </w:rPr>
        <w:t xml:space="preserve">in media outlets that reach areas </w:t>
      </w:r>
      <w:r w:rsidRPr="000E32F1">
        <w:rPr>
          <w:rFonts w:ascii="Azo Sans" w:hAnsi="Azo Sans" w:cstheme="minorHAnsi"/>
          <w:sz w:val="20"/>
          <w:szCs w:val="22"/>
        </w:rPr>
        <w:t>outsi</w:t>
      </w:r>
      <w:r w:rsidR="007C3F1E" w:rsidRPr="000E32F1">
        <w:rPr>
          <w:rFonts w:ascii="Azo Sans" w:hAnsi="Azo Sans" w:cstheme="minorHAnsi"/>
          <w:sz w:val="20"/>
          <w:szCs w:val="22"/>
        </w:rPr>
        <w:t>de a 5</w:t>
      </w:r>
      <w:r w:rsidR="00C71F78" w:rsidRPr="000E32F1">
        <w:rPr>
          <w:rFonts w:ascii="Azo Sans" w:hAnsi="Azo Sans" w:cstheme="minorHAnsi"/>
          <w:sz w:val="20"/>
          <w:szCs w:val="22"/>
        </w:rPr>
        <w:t>0-mile radius of Monroe County</w:t>
      </w:r>
      <w:r w:rsidRPr="000E32F1">
        <w:rPr>
          <w:rFonts w:ascii="Azo Sans" w:hAnsi="Azo Sans" w:cstheme="minorHAnsi"/>
          <w:sz w:val="20"/>
          <w:szCs w:val="22"/>
        </w:rPr>
        <w:t xml:space="preserve">. </w:t>
      </w:r>
      <w:r w:rsidR="00C71F78" w:rsidRPr="000E32F1">
        <w:rPr>
          <w:rFonts w:ascii="Azo Sans" w:hAnsi="Azo Sans" w:cstheme="minorHAnsi"/>
          <w:sz w:val="20"/>
          <w:szCs w:val="22"/>
        </w:rPr>
        <w:t xml:space="preserve">(Indianapolis is an </w:t>
      </w:r>
      <w:r w:rsidR="00FC5F88">
        <w:rPr>
          <w:rFonts w:ascii="Azo Sans" w:hAnsi="Azo Sans" w:cstheme="minorHAnsi"/>
          <w:sz w:val="20"/>
          <w:szCs w:val="22"/>
        </w:rPr>
        <w:t xml:space="preserve">eligible market </w:t>
      </w:r>
      <w:r w:rsidR="00C71F78" w:rsidRPr="000E32F1">
        <w:rPr>
          <w:rFonts w:ascii="Azo Sans" w:hAnsi="Azo Sans" w:cstheme="minorHAnsi"/>
          <w:sz w:val="20"/>
          <w:szCs w:val="22"/>
        </w:rPr>
        <w:t>area.)</w:t>
      </w:r>
      <w:r w:rsidR="00D04F01" w:rsidRPr="000E32F1">
        <w:rPr>
          <w:rFonts w:ascii="Azo Sans" w:hAnsi="Azo Sans" w:cstheme="minorHAnsi"/>
          <w:sz w:val="20"/>
          <w:szCs w:val="22"/>
        </w:rPr>
        <w:t xml:space="preserve"> Applications must includ</w:t>
      </w:r>
      <w:r w:rsidR="00FC5F88">
        <w:rPr>
          <w:rFonts w:ascii="Azo Sans" w:hAnsi="Azo Sans" w:cstheme="minorHAnsi"/>
          <w:sz w:val="20"/>
          <w:szCs w:val="22"/>
        </w:rPr>
        <w:t>e media details including outlet</w:t>
      </w:r>
      <w:r w:rsidRPr="000E32F1">
        <w:rPr>
          <w:rFonts w:ascii="Azo Sans" w:hAnsi="Azo Sans" w:cstheme="minorHAnsi"/>
          <w:sz w:val="20"/>
          <w:szCs w:val="22"/>
        </w:rPr>
        <w:t xml:space="preserve">, </w:t>
      </w:r>
      <w:r w:rsidR="00FC5F88">
        <w:rPr>
          <w:rFonts w:ascii="Azo Sans" w:hAnsi="Azo Sans" w:cstheme="minorHAnsi"/>
          <w:sz w:val="20"/>
          <w:szCs w:val="22"/>
        </w:rPr>
        <w:t xml:space="preserve">advertising </w:t>
      </w:r>
      <w:r w:rsidRPr="000E32F1">
        <w:rPr>
          <w:rFonts w:ascii="Azo Sans" w:hAnsi="Azo Sans" w:cstheme="minorHAnsi"/>
          <w:sz w:val="20"/>
          <w:szCs w:val="22"/>
        </w:rPr>
        <w:t>dates, size</w:t>
      </w:r>
      <w:r w:rsidR="00FC5F88">
        <w:rPr>
          <w:rFonts w:ascii="Azo Sans" w:hAnsi="Azo Sans" w:cstheme="minorHAnsi"/>
          <w:sz w:val="20"/>
          <w:szCs w:val="22"/>
        </w:rPr>
        <w:t>,</w:t>
      </w:r>
      <w:r w:rsidRPr="000E32F1">
        <w:rPr>
          <w:rFonts w:ascii="Azo Sans" w:hAnsi="Azo Sans" w:cstheme="minorHAnsi"/>
          <w:sz w:val="20"/>
          <w:szCs w:val="22"/>
        </w:rPr>
        <w:t xml:space="preserve"> and </w:t>
      </w:r>
      <w:r w:rsidR="00D04F01" w:rsidRPr="000E32F1">
        <w:rPr>
          <w:rFonts w:ascii="Azo Sans" w:hAnsi="Azo Sans" w:cstheme="minorHAnsi"/>
          <w:sz w:val="20"/>
          <w:szCs w:val="22"/>
        </w:rPr>
        <w:t>frequency</w:t>
      </w:r>
      <w:r w:rsidRPr="000E32F1">
        <w:rPr>
          <w:rFonts w:ascii="Azo Sans" w:hAnsi="Azo Sans" w:cstheme="minorHAnsi"/>
          <w:sz w:val="20"/>
          <w:szCs w:val="22"/>
        </w:rPr>
        <w:t xml:space="preserve"> of a</w:t>
      </w:r>
      <w:r w:rsidR="007C3F1E" w:rsidRPr="000E32F1">
        <w:rPr>
          <w:rFonts w:ascii="Azo Sans" w:hAnsi="Azo Sans" w:cstheme="minorHAnsi"/>
          <w:sz w:val="20"/>
          <w:szCs w:val="22"/>
        </w:rPr>
        <w:t>ds to be placed.</w:t>
      </w:r>
    </w:p>
    <w:p w14:paraId="3521943B" w14:textId="77777777" w:rsidR="00FC5F88" w:rsidRDefault="00685C26" w:rsidP="00A53F51">
      <w:pPr>
        <w:numPr>
          <w:ilvl w:val="0"/>
          <w:numId w:val="7"/>
        </w:numPr>
        <w:spacing w:after="120"/>
        <w:rPr>
          <w:rFonts w:ascii="Azo Sans" w:hAnsi="Azo Sans" w:cstheme="minorHAnsi"/>
          <w:sz w:val="20"/>
          <w:szCs w:val="22"/>
        </w:rPr>
      </w:pPr>
      <w:r w:rsidRPr="000E32F1">
        <w:rPr>
          <w:rFonts w:ascii="Azo Sans" w:hAnsi="Azo Sans" w:cstheme="minorHAnsi"/>
          <w:sz w:val="20"/>
          <w:szCs w:val="22"/>
        </w:rPr>
        <w:t>Event web</w:t>
      </w:r>
      <w:r w:rsidR="00033779" w:rsidRPr="000E32F1">
        <w:rPr>
          <w:rFonts w:ascii="Azo Sans" w:hAnsi="Azo Sans" w:cstheme="minorHAnsi"/>
          <w:sz w:val="20"/>
          <w:szCs w:val="22"/>
        </w:rPr>
        <w:t>site development</w:t>
      </w:r>
      <w:r w:rsidR="009F7082" w:rsidRPr="000E32F1">
        <w:rPr>
          <w:rFonts w:ascii="Azo Sans" w:hAnsi="Azo Sans" w:cstheme="minorHAnsi"/>
          <w:sz w:val="20"/>
          <w:szCs w:val="22"/>
        </w:rPr>
        <w:t xml:space="preserve"> provided by an independent contractor</w:t>
      </w:r>
      <w:r w:rsidR="00033779" w:rsidRPr="000E32F1">
        <w:rPr>
          <w:rFonts w:ascii="Azo Sans" w:hAnsi="Azo Sans" w:cstheme="minorHAnsi"/>
          <w:sz w:val="20"/>
          <w:szCs w:val="22"/>
        </w:rPr>
        <w:t>.</w:t>
      </w:r>
      <w:r w:rsidR="00F17C29">
        <w:rPr>
          <w:rFonts w:ascii="Azo Sans" w:hAnsi="Azo Sans" w:cstheme="minorHAnsi"/>
          <w:sz w:val="20"/>
          <w:szCs w:val="22"/>
        </w:rPr>
        <w:t xml:space="preserve">  </w:t>
      </w:r>
    </w:p>
    <w:p w14:paraId="64406370" w14:textId="77777777" w:rsidR="00DF4FE8" w:rsidRDefault="00DF4FE8" w:rsidP="00A53F51">
      <w:pPr>
        <w:numPr>
          <w:ilvl w:val="0"/>
          <w:numId w:val="7"/>
        </w:numPr>
        <w:spacing w:after="120"/>
        <w:rPr>
          <w:rFonts w:ascii="Azo Sans" w:hAnsi="Azo Sans" w:cstheme="minorHAnsi"/>
          <w:sz w:val="20"/>
          <w:szCs w:val="22"/>
        </w:rPr>
      </w:pPr>
      <w:r>
        <w:rPr>
          <w:rFonts w:ascii="Azo Sans" w:hAnsi="Azo Sans" w:cstheme="minorHAnsi"/>
          <w:sz w:val="20"/>
          <w:szCs w:val="22"/>
        </w:rPr>
        <w:t xml:space="preserve">Graphic design services </w:t>
      </w:r>
      <w:r w:rsidR="00FC5F88">
        <w:rPr>
          <w:rFonts w:ascii="Azo Sans" w:hAnsi="Azo Sans" w:cstheme="minorHAnsi"/>
          <w:sz w:val="20"/>
          <w:szCs w:val="22"/>
        </w:rPr>
        <w:t>provided by an independent contractor.</w:t>
      </w:r>
    </w:p>
    <w:p w14:paraId="1533AEE2" w14:textId="77777777" w:rsidR="00012A46" w:rsidRDefault="00DF4FE8" w:rsidP="00A53F51">
      <w:pPr>
        <w:numPr>
          <w:ilvl w:val="0"/>
          <w:numId w:val="7"/>
        </w:numPr>
        <w:spacing w:after="120"/>
        <w:rPr>
          <w:rFonts w:ascii="Azo Sans" w:hAnsi="Azo Sans" w:cstheme="minorHAnsi"/>
          <w:sz w:val="20"/>
          <w:szCs w:val="22"/>
        </w:rPr>
      </w:pPr>
      <w:r>
        <w:rPr>
          <w:rFonts w:ascii="Azo Sans" w:hAnsi="Azo Sans" w:cstheme="minorHAnsi"/>
          <w:sz w:val="20"/>
          <w:szCs w:val="22"/>
        </w:rPr>
        <w:t>Photography and/or videography services provid</w:t>
      </w:r>
      <w:r w:rsidR="00EE3B2A">
        <w:rPr>
          <w:rFonts w:ascii="Azo Sans" w:hAnsi="Azo Sans" w:cstheme="minorHAnsi"/>
          <w:sz w:val="20"/>
          <w:szCs w:val="22"/>
        </w:rPr>
        <w:t>ed by an independent contractor (</w:t>
      </w:r>
      <w:r w:rsidR="00311EDC">
        <w:rPr>
          <w:rFonts w:ascii="Azo Sans" w:hAnsi="Azo Sans" w:cstheme="minorHAnsi"/>
          <w:sz w:val="20"/>
          <w:szCs w:val="22"/>
        </w:rPr>
        <w:t xml:space="preserve">not to exceed 30% of </w:t>
      </w:r>
      <w:r w:rsidR="00123A88">
        <w:rPr>
          <w:rFonts w:ascii="Azo Sans" w:hAnsi="Azo Sans" w:cstheme="minorHAnsi"/>
          <w:sz w:val="20"/>
          <w:szCs w:val="22"/>
        </w:rPr>
        <w:t>award</w:t>
      </w:r>
      <w:r w:rsidR="00EE3B2A">
        <w:rPr>
          <w:rFonts w:ascii="Azo Sans" w:hAnsi="Azo Sans" w:cstheme="minorHAnsi"/>
          <w:sz w:val="20"/>
          <w:szCs w:val="22"/>
        </w:rPr>
        <w:t>).</w:t>
      </w:r>
      <w:r w:rsidR="009F7082" w:rsidRPr="000E32F1">
        <w:rPr>
          <w:rFonts w:ascii="Azo Sans" w:hAnsi="Azo Sans" w:cstheme="minorHAnsi"/>
          <w:sz w:val="20"/>
          <w:szCs w:val="22"/>
        </w:rPr>
        <w:t xml:space="preserve"> </w:t>
      </w:r>
    </w:p>
    <w:p w14:paraId="7AC8DCDB" w14:textId="77777777" w:rsidR="00DF4FE8" w:rsidRPr="000E32F1" w:rsidRDefault="00DF4FE8" w:rsidP="00A53F51">
      <w:pPr>
        <w:numPr>
          <w:ilvl w:val="0"/>
          <w:numId w:val="7"/>
        </w:numPr>
        <w:spacing w:after="120"/>
        <w:rPr>
          <w:rFonts w:ascii="Azo Sans" w:hAnsi="Azo Sans" w:cstheme="minorHAnsi"/>
          <w:sz w:val="20"/>
          <w:szCs w:val="22"/>
        </w:rPr>
      </w:pPr>
      <w:r>
        <w:rPr>
          <w:rFonts w:ascii="Azo Sans" w:hAnsi="Azo Sans" w:cstheme="minorHAnsi"/>
          <w:sz w:val="20"/>
          <w:szCs w:val="22"/>
        </w:rPr>
        <w:t>Artist and/or performer fees (</w:t>
      </w:r>
      <w:r w:rsidR="00F17C29">
        <w:rPr>
          <w:rFonts w:ascii="Azo Sans" w:hAnsi="Azo Sans" w:cstheme="minorHAnsi"/>
          <w:sz w:val="20"/>
          <w:szCs w:val="22"/>
        </w:rPr>
        <w:t xml:space="preserve">not to exceed </w:t>
      </w:r>
      <w:r w:rsidR="00311EDC">
        <w:rPr>
          <w:rFonts w:ascii="Azo Sans" w:hAnsi="Azo Sans" w:cstheme="minorHAnsi"/>
          <w:sz w:val="20"/>
          <w:szCs w:val="22"/>
        </w:rPr>
        <w:t xml:space="preserve">30% of </w:t>
      </w:r>
      <w:r w:rsidR="00123A88">
        <w:rPr>
          <w:rFonts w:ascii="Azo Sans" w:hAnsi="Azo Sans" w:cstheme="minorHAnsi"/>
          <w:sz w:val="20"/>
          <w:szCs w:val="22"/>
        </w:rPr>
        <w:t>award</w:t>
      </w:r>
      <w:r>
        <w:rPr>
          <w:rFonts w:ascii="Azo Sans" w:hAnsi="Azo Sans" w:cstheme="minorHAnsi"/>
          <w:sz w:val="20"/>
          <w:szCs w:val="22"/>
        </w:rPr>
        <w:t>).  Eligible for emerging events only.</w:t>
      </w:r>
    </w:p>
    <w:p w14:paraId="06CDA5B6" w14:textId="77777777" w:rsidR="00DF4FE8" w:rsidRPr="00DF4FE8" w:rsidRDefault="00DF4FE8" w:rsidP="00DF4FE8">
      <w:pPr>
        <w:pStyle w:val="ListParagraph"/>
        <w:numPr>
          <w:ilvl w:val="0"/>
          <w:numId w:val="7"/>
        </w:numPr>
        <w:spacing w:after="120"/>
        <w:rPr>
          <w:rFonts w:ascii="Azo Sans" w:hAnsi="Azo Sans" w:cstheme="minorHAnsi"/>
          <w:sz w:val="20"/>
          <w:szCs w:val="22"/>
        </w:rPr>
      </w:pPr>
      <w:r>
        <w:rPr>
          <w:rFonts w:ascii="Azo Sans" w:hAnsi="Azo Sans" w:cstheme="minorHAnsi"/>
          <w:sz w:val="20"/>
          <w:szCs w:val="22"/>
        </w:rPr>
        <w:t>Facility rental (</w:t>
      </w:r>
      <w:r w:rsidR="00F17C29">
        <w:rPr>
          <w:rFonts w:ascii="Azo Sans" w:hAnsi="Azo Sans" w:cstheme="minorHAnsi"/>
          <w:sz w:val="20"/>
          <w:szCs w:val="22"/>
        </w:rPr>
        <w:t xml:space="preserve">not to exceed </w:t>
      </w:r>
      <w:r w:rsidR="00311EDC">
        <w:rPr>
          <w:rFonts w:ascii="Azo Sans" w:hAnsi="Azo Sans" w:cstheme="minorHAnsi"/>
          <w:sz w:val="20"/>
          <w:szCs w:val="22"/>
        </w:rPr>
        <w:t xml:space="preserve">30% of </w:t>
      </w:r>
      <w:r w:rsidR="00123A88">
        <w:rPr>
          <w:rFonts w:ascii="Azo Sans" w:hAnsi="Azo Sans" w:cstheme="minorHAnsi"/>
          <w:sz w:val="20"/>
          <w:szCs w:val="22"/>
        </w:rPr>
        <w:t>award</w:t>
      </w:r>
      <w:r>
        <w:rPr>
          <w:rFonts w:ascii="Azo Sans" w:hAnsi="Azo Sans" w:cstheme="minorHAnsi"/>
          <w:sz w:val="20"/>
          <w:szCs w:val="22"/>
        </w:rPr>
        <w:t>)</w:t>
      </w:r>
      <w:r w:rsidR="00F17C29">
        <w:rPr>
          <w:rFonts w:ascii="Azo Sans" w:hAnsi="Azo Sans" w:cstheme="minorHAnsi"/>
          <w:sz w:val="20"/>
          <w:szCs w:val="22"/>
        </w:rPr>
        <w:t>.</w:t>
      </w:r>
      <w:r>
        <w:rPr>
          <w:rFonts w:ascii="Azo Sans" w:hAnsi="Azo Sans" w:cstheme="minorHAnsi"/>
          <w:sz w:val="20"/>
          <w:szCs w:val="22"/>
        </w:rPr>
        <w:t xml:space="preserve"> Eligible for emerging events only.</w:t>
      </w:r>
      <w:r w:rsidR="009F7082" w:rsidRPr="00DF4FE8">
        <w:rPr>
          <w:rFonts w:ascii="Azo Sans" w:hAnsi="Azo Sans" w:cstheme="minorHAnsi"/>
          <w:sz w:val="20"/>
          <w:szCs w:val="22"/>
        </w:rPr>
        <w:t xml:space="preserve"> </w:t>
      </w:r>
    </w:p>
    <w:p w14:paraId="1A5AFD2E" w14:textId="77777777" w:rsidR="00012A46" w:rsidRPr="00726D04" w:rsidRDefault="00012A46" w:rsidP="00726D04">
      <w:pPr>
        <w:rPr>
          <w:rFonts w:ascii="Decour" w:hAnsi="Decour"/>
          <w:sz w:val="20"/>
        </w:rPr>
      </w:pPr>
    </w:p>
    <w:p w14:paraId="2FAF7AD2" w14:textId="77777777" w:rsidR="00D04F01" w:rsidRPr="00FE102C" w:rsidRDefault="00D04F01" w:rsidP="00012A46">
      <w:pPr>
        <w:pStyle w:val="NoSpacing"/>
        <w:rPr>
          <w:rFonts w:ascii="Azo Sans" w:hAnsi="Azo Sans"/>
          <w:b/>
          <w:caps/>
          <w:sz w:val="22"/>
        </w:rPr>
      </w:pPr>
      <w:r w:rsidRPr="00FE102C">
        <w:rPr>
          <w:rFonts w:ascii="Azo Sans" w:hAnsi="Azo Sans"/>
          <w:b/>
          <w:caps/>
          <w:sz w:val="22"/>
        </w:rPr>
        <w:t xml:space="preserve">Ineligible </w:t>
      </w:r>
      <w:r w:rsidR="000E32F1" w:rsidRPr="00FE102C">
        <w:rPr>
          <w:rFonts w:ascii="Azo Sans" w:hAnsi="Azo Sans"/>
          <w:b/>
          <w:caps/>
          <w:sz w:val="22"/>
        </w:rPr>
        <w:t xml:space="preserve">Reimbursement </w:t>
      </w:r>
      <w:r w:rsidRPr="00FE102C">
        <w:rPr>
          <w:rFonts w:ascii="Azo Sans" w:hAnsi="Azo Sans"/>
          <w:b/>
          <w:caps/>
          <w:sz w:val="22"/>
        </w:rPr>
        <w:t>Expenditures</w:t>
      </w:r>
    </w:p>
    <w:p w14:paraId="7A078B19" w14:textId="77777777" w:rsidR="00012A46" w:rsidRPr="00012A46" w:rsidRDefault="00012A46" w:rsidP="00DF4FE8"/>
    <w:p w14:paraId="0E7042DC" w14:textId="77777777" w:rsidR="00DF4FE8" w:rsidRPr="000E32F1" w:rsidRDefault="00DF4FE8" w:rsidP="00DF4FE8">
      <w:pPr>
        <w:numPr>
          <w:ilvl w:val="0"/>
          <w:numId w:val="23"/>
        </w:numPr>
        <w:spacing w:after="120"/>
        <w:rPr>
          <w:rFonts w:ascii="Azo Sans" w:hAnsi="Azo Sans" w:cstheme="minorHAnsi"/>
          <w:sz w:val="20"/>
          <w:szCs w:val="22"/>
        </w:rPr>
      </w:pPr>
      <w:r>
        <w:rPr>
          <w:rFonts w:ascii="Azo Sans" w:hAnsi="Azo Sans" w:cstheme="minorHAnsi"/>
          <w:sz w:val="20"/>
          <w:szCs w:val="22"/>
        </w:rPr>
        <w:t>Adver</w:t>
      </w:r>
      <w:r w:rsidRPr="00DF4FE8">
        <w:rPr>
          <w:rFonts w:ascii="Azo Sans" w:hAnsi="Azo Sans" w:cstheme="minorHAnsi"/>
          <w:sz w:val="20"/>
        </w:rPr>
        <w:t xml:space="preserve">tising (print, social media, web display, </w:t>
      </w:r>
      <w:r w:rsidR="00FE102C">
        <w:rPr>
          <w:rFonts w:ascii="Azo Sans" w:hAnsi="Azo Sans" w:cstheme="minorHAnsi"/>
          <w:sz w:val="20"/>
        </w:rPr>
        <w:t xml:space="preserve">outdoor, </w:t>
      </w:r>
      <w:r w:rsidRPr="00DF4FE8">
        <w:rPr>
          <w:rFonts w:ascii="Azo Sans" w:hAnsi="Azo Sans" w:cstheme="minorHAnsi"/>
          <w:sz w:val="20"/>
        </w:rPr>
        <w:t>and radio) placed within Monroe County or a 50-mile radius.</w:t>
      </w:r>
    </w:p>
    <w:p w14:paraId="03C1A04E" w14:textId="77777777" w:rsidR="00FC5F88" w:rsidRPr="00F17C29" w:rsidRDefault="00F17C29" w:rsidP="00F17C29">
      <w:pPr>
        <w:pStyle w:val="ListParagraph"/>
        <w:numPr>
          <w:ilvl w:val="0"/>
          <w:numId w:val="23"/>
        </w:numPr>
        <w:spacing w:after="120"/>
        <w:rPr>
          <w:rFonts w:ascii="Azo Sans" w:hAnsi="Azo Sans" w:cstheme="minorHAnsi"/>
          <w:sz w:val="20"/>
          <w:szCs w:val="22"/>
        </w:rPr>
      </w:pPr>
      <w:r>
        <w:rPr>
          <w:rFonts w:ascii="Azo Sans" w:hAnsi="Azo Sans" w:cstheme="minorHAnsi"/>
          <w:sz w:val="20"/>
          <w:szCs w:val="22"/>
        </w:rPr>
        <w:t>Wages for any salaried or hourly staff/employee.</w:t>
      </w:r>
    </w:p>
    <w:p w14:paraId="362F9486" w14:textId="77777777" w:rsidR="00F17C29" w:rsidRPr="000E32F1" w:rsidRDefault="00F17C29" w:rsidP="00F17C29">
      <w:pPr>
        <w:numPr>
          <w:ilvl w:val="0"/>
          <w:numId w:val="23"/>
        </w:numPr>
        <w:spacing w:after="120"/>
        <w:rPr>
          <w:rFonts w:ascii="Azo Sans" w:hAnsi="Azo Sans" w:cstheme="minorHAnsi"/>
          <w:sz w:val="20"/>
          <w:szCs w:val="22"/>
        </w:rPr>
      </w:pPr>
      <w:r>
        <w:rPr>
          <w:rFonts w:ascii="Azo Sans" w:hAnsi="Azo Sans" w:cstheme="minorHAnsi"/>
          <w:sz w:val="20"/>
          <w:szCs w:val="22"/>
        </w:rPr>
        <w:t>Fees associated with the hiring of a marketing or public relations company.</w:t>
      </w:r>
    </w:p>
    <w:p w14:paraId="5A619765" w14:textId="77777777" w:rsidR="00F17C29" w:rsidRPr="00DF4FE8" w:rsidRDefault="00F17C29" w:rsidP="00F17C29">
      <w:pPr>
        <w:pStyle w:val="ListParagraph"/>
        <w:numPr>
          <w:ilvl w:val="0"/>
          <w:numId w:val="23"/>
        </w:numPr>
        <w:rPr>
          <w:rFonts w:ascii="Azo Sans" w:hAnsi="Azo Sans" w:cstheme="minorHAnsi"/>
          <w:sz w:val="20"/>
          <w:szCs w:val="20"/>
        </w:rPr>
      </w:pPr>
      <w:r>
        <w:rPr>
          <w:rFonts w:ascii="Azo Sans" w:hAnsi="Azo Sans" w:cstheme="minorHAnsi"/>
          <w:sz w:val="20"/>
          <w:szCs w:val="22"/>
        </w:rPr>
        <w:t>Ev</w:t>
      </w:r>
      <w:r w:rsidRPr="00DF4FE8">
        <w:rPr>
          <w:rFonts w:ascii="Azo Sans" w:hAnsi="Azo Sans" w:cstheme="minorHAnsi"/>
          <w:sz w:val="20"/>
        </w:rPr>
        <w:t>ent tickets or passes used in marketing or public relations projects.  Visit Bloomington considers tickets and passes to be in-kind expenses, and will not pay the cost of providing tickets to media outlets for contests and/or public relations campaigns.</w:t>
      </w:r>
      <w:r w:rsidRPr="00DF4FE8">
        <w:rPr>
          <w:rFonts w:ascii="Azo Sans" w:hAnsi="Azo Sans" w:cstheme="minorHAnsi"/>
          <w:sz w:val="20"/>
          <w:szCs w:val="20"/>
        </w:rPr>
        <w:t xml:space="preserve"> </w:t>
      </w:r>
    </w:p>
    <w:p w14:paraId="6CF9D8CD" w14:textId="77777777" w:rsidR="007B3146" w:rsidRPr="00DF4FE8" w:rsidRDefault="00A264FB" w:rsidP="00F17C29">
      <w:pPr>
        <w:pStyle w:val="ListParagraph"/>
        <w:rPr>
          <w:rFonts w:ascii="Azo Sans" w:hAnsi="Azo Sans" w:cstheme="minorHAnsi"/>
          <w:sz w:val="20"/>
          <w:szCs w:val="20"/>
        </w:rPr>
      </w:pPr>
      <w:r w:rsidRPr="00DF4FE8">
        <w:rPr>
          <w:rFonts w:ascii="Azo Sans" w:hAnsi="Azo Sans" w:cstheme="minorHAnsi"/>
          <w:sz w:val="20"/>
          <w:szCs w:val="20"/>
        </w:rPr>
        <w:t xml:space="preserve"> </w:t>
      </w:r>
    </w:p>
    <w:sectPr w:rsidR="007B3146" w:rsidRPr="00DF4FE8" w:rsidSect="00726D04">
      <w:headerReference w:type="default" r:id="rId8"/>
      <w:footerReference w:type="even" r:id="rId9"/>
      <w:footerReference w:type="default" r:id="rId10"/>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2922A" w14:textId="77777777" w:rsidR="001A44EF" w:rsidRDefault="001A44EF">
      <w:r>
        <w:separator/>
      </w:r>
    </w:p>
  </w:endnote>
  <w:endnote w:type="continuationSeparator" w:id="0">
    <w:p w14:paraId="19959317" w14:textId="77777777" w:rsidR="001A44EF" w:rsidRDefault="001A4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ffy">
    <w:altName w:val="Kristen ITC"/>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Enviro">
    <w:altName w:val="Harlow Solid Italic"/>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cour">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zo Sans">
    <w:panose1 w:val="020B0603030303020204"/>
    <w:charset w:val="00"/>
    <w:family w:val="swiss"/>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E4365" w14:textId="77777777" w:rsidR="001A44EF" w:rsidRDefault="00F425D1">
    <w:pPr>
      <w:pStyle w:val="Footer"/>
      <w:framePr w:wrap="around" w:vAnchor="text" w:hAnchor="margin" w:xAlign="center" w:y="1"/>
      <w:rPr>
        <w:rStyle w:val="PageNumber"/>
      </w:rPr>
    </w:pPr>
    <w:r>
      <w:rPr>
        <w:rStyle w:val="PageNumber"/>
      </w:rPr>
      <w:fldChar w:fldCharType="begin"/>
    </w:r>
    <w:r w:rsidR="001A44EF">
      <w:rPr>
        <w:rStyle w:val="PageNumber"/>
      </w:rPr>
      <w:instrText xml:space="preserve">PAGE  </w:instrText>
    </w:r>
    <w:r>
      <w:rPr>
        <w:rStyle w:val="PageNumber"/>
      </w:rPr>
      <w:fldChar w:fldCharType="end"/>
    </w:r>
  </w:p>
  <w:p w14:paraId="504C3928" w14:textId="77777777" w:rsidR="001A44EF" w:rsidRDefault="001A44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3F125" w14:textId="77777777" w:rsidR="001A44EF" w:rsidRDefault="00F425D1">
    <w:pPr>
      <w:pStyle w:val="Footer"/>
      <w:framePr w:wrap="around" w:vAnchor="text" w:hAnchor="margin" w:xAlign="center" w:y="1"/>
      <w:rPr>
        <w:rStyle w:val="PageNumber"/>
      </w:rPr>
    </w:pPr>
    <w:r>
      <w:rPr>
        <w:rStyle w:val="PageNumber"/>
      </w:rPr>
      <w:fldChar w:fldCharType="begin"/>
    </w:r>
    <w:r w:rsidR="001A44EF">
      <w:rPr>
        <w:rStyle w:val="PageNumber"/>
      </w:rPr>
      <w:instrText xml:space="preserve">PAGE  </w:instrText>
    </w:r>
    <w:r>
      <w:rPr>
        <w:rStyle w:val="PageNumber"/>
      </w:rPr>
      <w:fldChar w:fldCharType="separate"/>
    </w:r>
    <w:r w:rsidR="00EF58A3">
      <w:rPr>
        <w:rStyle w:val="PageNumber"/>
        <w:noProof/>
      </w:rPr>
      <w:t>2</w:t>
    </w:r>
    <w:r>
      <w:rPr>
        <w:rStyle w:val="PageNumber"/>
      </w:rPr>
      <w:fldChar w:fldCharType="end"/>
    </w:r>
  </w:p>
  <w:p w14:paraId="3916D5E2" w14:textId="77777777" w:rsidR="001A44EF" w:rsidRDefault="001A44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CE492" w14:textId="77777777" w:rsidR="001A44EF" w:rsidRDefault="001A44EF">
      <w:r>
        <w:separator/>
      </w:r>
    </w:p>
  </w:footnote>
  <w:footnote w:type="continuationSeparator" w:id="0">
    <w:p w14:paraId="13771F87" w14:textId="77777777" w:rsidR="001A44EF" w:rsidRDefault="001A44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004E1" w14:textId="77777777" w:rsidR="00F24D0E" w:rsidRDefault="00F24D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E6963"/>
    <w:multiLevelType w:val="hybridMultilevel"/>
    <w:tmpl w:val="8404F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E3809"/>
    <w:multiLevelType w:val="hybridMultilevel"/>
    <w:tmpl w:val="05A04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51A6E"/>
    <w:multiLevelType w:val="hybridMultilevel"/>
    <w:tmpl w:val="5816A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46561"/>
    <w:multiLevelType w:val="hybridMultilevel"/>
    <w:tmpl w:val="845AFD6C"/>
    <w:lvl w:ilvl="0" w:tplc="CAE0B154">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B51AF8"/>
    <w:multiLevelType w:val="hybridMultilevel"/>
    <w:tmpl w:val="BADAB1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C107E8"/>
    <w:multiLevelType w:val="hybridMultilevel"/>
    <w:tmpl w:val="F070B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43D18"/>
    <w:multiLevelType w:val="hybridMultilevel"/>
    <w:tmpl w:val="62F60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7D09C8"/>
    <w:multiLevelType w:val="hybridMultilevel"/>
    <w:tmpl w:val="2414698E"/>
    <w:lvl w:ilvl="0" w:tplc="0C6AAED0">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D74692"/>
    <w:multiLevelType w:val="hybridMultilevel"/>
    <w:tmpl w:val="0E902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3A6899"/>
    <w:multiLevelType w:val="hybridMultilevel"/>
    <w:tmpl w:val="1E922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4F0839"/>
    <w:multiLevelType w:val="hybridMultilevel"/>
    <w:tmpl w:val="3B628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DF1CD5"/>
    <w:multiLevelType w:val="hybridMultilevel"/>
    <w:tmpl w:val="A66ABDC8"/>
    <w:lvl w:ilvl="0" w:tplc="37148B7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6E36933"/>
    <w:multiLevelType w:val="hybridMultilevel"/>
    <w:tmpl w:val="1CDEF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7650B9"/>
    <w:multiLevelType w:val="hybridMultilevel"/>
    <w:tmpl w:val="C7B880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1DF3F7C"/>
    <w:multiLevelType w:val="hybridMultilevel"/>
    <w:tmpl w:val="75722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766DBB"/>
    <w:multiLevelType w:val="hybridMultilevel"/>
    <w:tmpl w:val="83C21A54"/>
    <w:lvl w:ilvl="0" w:tplc="0409000F">
      <w:start w:val="1"/>
      <w:numFmt w:val="decimal"/>
      <w:lvlText w:val="%1."/>
      <w:lvlJc w:val="left"/>
      <w:pPr>
        <w:tabs>
          <w:tab w:val="num" w:pos="720"/>
        </w:tabs>
        <w:ind w:left="720" w:hanging="360"/>
      </w:pPr>
      <w:rPr>
        <w:rFonts w:hint="default"/>
      </w:rPr>
    </w:lvl>
    <w:lvl w:ilvl="1" w:tplc="F98624D6">
      <w:start w:val="1"/>
      <w:numFmt w:val="upperLetter"/>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5706025"/>
    <w:multiLevelType w:val="hybridMultilevel"/>
    <w:tmpl w:val="6B6C93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6E5C32"/>
    <w:multiLevelType w:val="hybridMultilevel"/>
    <w:tmpl w:val="4ADE7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D521E5"/>
    <w:multiLevelType w:val="hybridMultilevel"/>
    <w:tmpl w:val="F90E45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9C34F82"/>
    <w:multiLevelType w:val="hybridMultilevel"/>
    <w:tmpl w:val="E79AA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027F47"/>
    <w:multiLevelType w:val="hybridMultilevel"/>
    <w:tmpl w:val="D01EB664"/>
    <w:lvl w:ilvl="0" w:tplc="0409000F">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7C704BA"/>
    <w:multiLevelType w:val="hybridMultilevel"/>
    <w:tmpl w:val="902ED0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BDA48AC"/>
    <w:multiLevelType w:val="hybridMultilevel"/>
    <w:tmpl w:val="3D6852C0"/>
    <w:lvl w:ilvl="0" w:tplc="68F8480A">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22"/>
  </w:num>
  <w:num w:numId="3">
    <w:abstractNumId w:val="3"/>
  </w:num>
  <w:num w:numId="4">
    <w:abstractNumId w:val="20"/>
  </w:num>
  <w:num w:numId="5">
    <w:abstractNumId w:val="21"/>
  </w:num>
  <w:num w:numId="6">
    <w:abstractNumId w:val="11"/>
  </w:num>
  <w:num w:numId="7">
    <w:abstractNumId w:val="13"/>
  </w:num>
  <w:num w:numId="8">
    <w:abstractNumId w:val="6"/>
  </w:num>
  <w:num w:numId="9">
    <w:abstractNumId w:val="8"/>
  </w:num>
  <w:num w:numId="10">
    <w:abstractNumId w:val="14"/>
  </w:num>
  <w:num w:numId="11">
    <w:abstractNumId w:val="1"/>
  </w:num>
  <w:num w:numId="12">
    <w:abstractNumId w:val="5"/>
  </w:num>
  <w:num w:numId="13">
    <w:abstractNumId w:val="2"/>
  </w:num>
  <w:num w:numId="14">
    <w:abstractNumId w:val="4"/>
  </w:num>
  <w:num w:numId="15">
    <w:abstractNumId w:val="17"/>
  </w:num>
  <w:num w:numId="16">
    <w:abstractNumId w:val="19"/>
  </w:num>
  <w:num w:numId="17">
    <w:abstractNumId w:val="9"/>
  </w:num>
  <w:num w:numId="18">
    <w:abstractNumId w:val="7"/>
  </w:num>
  <w:num w:numId="19">
    <w:abstractNumId w:val="18"/>
  </w:num>
  <w:num w:numId="20">
    <w:abstractNumId w:val="10"/>
  </w:num>
  <w:num w:numId="21">
    <w:abstractNumId w:val="0"/>
  </w:num>
  <w:num w:numId="22">
    <w:abstractNumId w:val="16"/>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D47"/>
    <w:rsid w:val="00001097"/>
    <w:rsid w:val="000121EA"/>
    <w:rsid w:val="00012A46"/>
    <w:rsid w:val="00014A4D"/>
    <w:rsid w:val="00015E21"/>
    <w:rsid w:val="00015F00"/>
    <w:rsid w:val="00033779"/>
    <w:rsid w:val="00076C13"/>
    <w:rsid w:val="00084A6E"/>
    <w:rsid w:val="0009058F"/>
    <w:rsid w:val="000956BA"/>
    <w:rsid w:val="000D21D2"/>
    <w:rsid w:val="000E2800"/>
    <w:rsid w:val="000E32F1"/>
    <w:rsid w:val="000E564D"/>
    <w:rsid w:val="00111F83"/>
    <w:rsid w:val="00122B03"/>
    <w:rsid w:val="00123A88"/>
    <w:rsid w:val="001A44EF"/>
    <w:rsid w:val="001F4324"/>
    <w:rsid w:val="0023411E"/>
    <w:rsid w:val="00236DED"/>
    <w:rsid w:val="00245CFE"/>
    <w:rsid w:val="00262E46"/>
    <w:rsid w:val="00272884"/>
    <w:rsid w:val="00284C96"/>
    <w:rsid w:val="0029098A"/>
    <w:rsid w:val="00290F0B"/>
    <w:rsid w:val="0029631D"/>
    <w:rsid w:val="00297AF3"/>
    <w:rsid w:val="002A6662"/>
    <w:rsid w:val="002D0AEB"/>
    <w:rsid w:val="002D32B0"/>
    <w:rsid w:val="002F4843"/>
    <w:rsid w:val="00311EDC"/>
    <w:rsid w:val="00317D14"/>
    <w:rsid w:val="00327B6A"/>
    <w:rsid w:val="00334E29"/>
    <w:rsid w:val="00360E43"/>
    <w:rsid w:val="00391431"/>
    <w:rsid w:val="003A4619"/>
    <w:rsid w:val="003C53EF"/>
    <w:rsid w:val="003F3E13"/>
    <w:rsid w:val="0041671D"/>
    <w:rsid w:val="0045126B"/>
    <w:rsid w:val="00452FAD"/>
    <w:rsid w:val="00476880"/>
    <w:rsid w:val="00483E43"/>
    <w:rsid w:val="00496D2B"/>
    <w:rsid w:val="004C4E85"/>
    <w:rsid w:val="004D5FF6"/>
    <w:rsid w:val="00525913"/>
    <w:rsid w:val="00537706"/>
    <w:rsid w:val="005447A5"/>
    <w:rsid w:val="00545151"/>
    <w:rsid w:val="00553C9D"/>
    <w:rsid w:val="005562DE"/>
    <w:rsid w:val="00556BE8"/>
    <w:rsid w:val="005952CB"/>
    <w:rsid w:val="005A2B64"/>
    <w:rsid w:val="005A33F3"/>
    <w:rsid w:val="005A5FE0"/>
    <w:rsid w:val="005C1F15"/>
    <w:rsid w:val="005D54F8"/>
    <w:rsid w:val="00606012"/>
    <w:rsid w:val="006065E0"/>
    <w:rsid w:val="00607382"/>
    <w:rsid w:val="00616180"/>
    <w:rsid w:val="00650F0A"/>
    <w:rsid w:val="00651A7F"/>
    <w:rsid w:val="00665F28"/>
    <w:rsid w:val="00681D47"/>
    <w:rsid w:val="0068271A"/>
    <w:rsid w:val="00685C26"/>
    <w:rsid w:val="00686B01"/>
    <w:rsid w:val="00693385"/>
    <w:rsid w:val="006A0B85"/>
    <w:rsid w:val="006A3EF8"/>
    <w:rsid w:val="006B1416"/>
    <w:rsid w:val="006B3E4B"/>
    <w:rsid w:val="006C051C"/>
    <w:rsid w:val="006C7A8A"/>
    <w:rsid w:val="006C7EDD"/>
    <w:rsid w:val="00712216"/>
    <w:rsid w:val="00726D04"/>
    <w:rsid w:val="00740175"/>
    <w:rsid w:val="00751285"/>
    <w:rsid w:val="00752631"/>
    <w:rsid w:val="007624CD"/>
    <w:rsid w:val="00783DB9"/>
    <w:rsid w:val="0078793E"/>
    <w:rsid w:val="007B1CF4"/>
    <w:rsid w:val="007B3146"/>
    <w:rsid w:val="007C3F1E"/>
    <w:rsid w:val="007E100E"/>
    <w:rsid w:val="00847223"/>
    <w:rsid w:val="00854F80"/>
    <w:rsid w:val="00883145"/>
    <w:rsid w:val="00886A50"/>
    <w:rsid w:val="00892F17"/>
    <w:rsid w:val="00895A03"/>
    <w:rsid w:val="008D054E"/>
    <w:rsid w:val="008E43D2"/>
    <w:rsid w:val="00904222"/>
    <w:rsid w:val="00914C72"/>
    <w:rsid w:val="00916662"/>
    <w:rsid w:val="009225AE"/>
    <w:rsid w:val="00933CCA"/>
    <w:rsid w:val="00936D02"/>
    <w:rsid w:val="00954F6C"/>
    <w:rsid w:val="0096003C"/>
    <w:rsid w:val="00985D1B"/>
    <w:rsid w:val="00993328"/>
    <w:rsid w:val="009940E9"/>
    <w:rsid w:val="009960D9"/>
    <w:rsid w:val="009A25BD"/>
    <w:rsid w:val="009A6390"/>
    <w:rsid w:val="009B1A9B"/>
    <w:rsid w:val="009D6800"/>
    <w:rsid w:val="009F7082"/>
    <w:rsid w:val="00A024B2"/>
    <w:rsid w:val="00A104B5"/>
    <w:rsid w:val="00A14949"/>
    <w:rsid w:val="00A15D61"/>
    <w:rsid w:val="00A25F89"/>
    <w:rsid w:val="00A264FB"/>
    <w:rsid w:val="00A41F0B"/>
    <w:rsid w:val="00A53F51"/>
    <w:rsid w:val="00A67DDA"/>
    <w:rsid w:val="00A869B3"/>
    <w:rsid w:val="00A93891"/>
    <w:rsid w:val="00A95A66"/>
    <w:rsid w:val="00AA4A78"/>
    <w:rsid w:val="00AA7781"/>
    <w:rsid w:val="00AC0E34"/>
    <w:rsid w:val="00AC5903"/>
    <w:rsid w:val="00AD1237"/>
    <w:rsid w:val="00AD468F"/>
    <w:rsid w:val="00AF0F52"/>
    <w:rsid w:val="00AF1BB8"/>
    <w:rsid w:val="00B11CAA"/>
    <w:rsid w:val="00B5499A"/>
    <w:rsid w:val="00B720C3"/>
    <w:rsid w:val="00B761F8"/>
    <w:rsid w:val="00B83344"/>
    <w:rsid w:val="00B84C80"/>
    <w:rsid w:val="00BB32EC"/>
    <w:rsid w:val="00BE5097"/>
    <w:rsid w:val="00C01A97"/>
    <w:rsid w:val="00C25782"/>
    <w:rsid w:val="00C322B1"/>
    <w:rsid w:val="00C336A0"/>
    <w:rsid w:val="00C44A73"/>
    <w:rsid w:val="00C517F1"/>
    <w:rsid w:val="00C52111"/>
    <w:rsid w:val="00C709A8"/>
    <w:rsid w:val="00C70D49"/>
    <w:rsid w:val="00C71F78"/>
    <w:rsid w:val="00C72967"/>
    <w:rsid w:val="00CC3D53"/>
    <w:rsid w:val="00CD3CB8"/>
    <w:rsid w:val="00CF23F7"/>
    <w:rsid w:val="00CF5525"/>
    <w:rsid w:val="00D00BFA"/>
    <w:rsid w:val="00D01CE7"/>
    <w:rsid w:val="00D031F6"/>
    <w:rsid w:val="00D04F01"/>
    <w:rsid w:val="00D11B00"/>
    <w:rsid w:val="00D17CBE"/>
    <w:rsid w:val="00D23F0A"/>
    <w:rsid w:val="00D34539"/>
    <w:rsid w:val="00D35474"/>
    <w:rsid w:val="00D42C67"/>
    <w:rsid w:val="00D42F5F"/>
    <w:rsid w:val="00D5787C"/>
    <w:rsid w:val="00D66898"/>
    <w:rsid w:val="00D96124"/>
    <w:rsid w:val="00DA25E1"/>
    <w:rsid w:val="00DC28F3"/>
    <w:rsid w:val="00DD1369"/>
    <w:rsid w:val="00DD1615"/>
    <w:rsid w:val="00DF4FE8"/>
    <w:rsid w:val="00E1523E"/>
    <w:rsid w:val="00E45F2A"/>
    <w:rsid w:val="00E47EA9"/>
    <w:rsid w:val="00E52194"/>
    <w:rsid w:val="00E5372B"/>
    <w:rsid w:val="00E83AC6"/>
    <w:rsid w:val="00E91357"/>
    <w:rsid w:val="00E96108"/>
    <w:rsid w:val="00EB7737"/>
    <w:rsid w:val="00EC452B"/>
    <w:rsid w:val="00EC763D"/>
    <w:rsid w:val="00ED01CC"/>
    <w:rsid w:val="00EE1F58"/>
    <w:rsid w:val="00EE3B2A"/>
    <w:rsid w:val="00EE56BD"/>
    <w:rsid w:val="00EF3B66"/>
    <w:rsid w:val="00EF58A3"/>
    <w:rsid w:val="00F02B8B"/>
    <w:rsid w:val="00F02E93"/>
    <w:rsid w:val="00F17C29"/>
    <w:rsid w:val="00F21EC6"/>
    <w:rsid w:val="00F24D0E"/>
    <w:rsid w:val="00F425D1"/>
    <w:rsid w:val="00F839A7"/>
    <w:rsid w:val="00F85737"/>
    <w:rsid w:val="00F9040E"/>
    <w:rsid w:val="00FB7521"/>
    <w:rsid w:val="00FC4095"/>
    <w:rsid w:val="00FC5F88"/>
    <w:rsid w:val="00FE102C"/>
    <w:rsid w:val="00FE2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6C3AA2"/>
  <w15:docId w15:val="{EC4C3102-640E-411C-A198-28748FF0C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264C"/>
    <w:rPr>
      <w:rFonts w:ascii="Arial" w:hAnsi="Arial" w:cs="Arial"/>
      <w:sz w:val="24"/>
      <w:szCs w:val="24"/>
    </w:rPr>
  </w:style>
  <w:style w:type="paragraph" w:styleId="Heading1">
    <w:name w:val="heading 1"/>
    <w:basedOn w:val="Normal"/>
    <w:next w:val="Normal"/>
    <w:qFormat/>
    <w:rsid w:val="00FE264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Taffy" w:hAnsi="Taffy"/>
      <w:sz w:val="28"/>
      <w:szCs w:val="28"/>
    </w:rPr>
  </w:style>
  <w:style w:type="paragraph" w:styleId="Heading2">
    <w:name w:val="heading 2"/>
    <w:basedOn w:val="Normal"/>
    <w:next w:val="Normal"/>
    <w:qFormat/>
    <w:rsid w:val="00FE264C"/>
    <w:pPr>
      <w:keepNext/>
      <w:outlineLvl w:val="1"/>
    </w:pPr>
    <w:rPr>
      <w:rFonts w:ascii="Garamond" w:hAnsi="Garamond" w:cs="Times New Roman"/>
      <w:b/>
      <w:bCs/>
      <w:i/>
      <w:iCs/>
      <w:sz w:val="28"/>
    </w:rPr>
  </w:style>
  <w:style w:type="paragraph" w:styleId="Heading3">
    <w:name w:val="heading 3"/>
    <w:basedOn w:val="Normal"/>
    <w:next w:val="Normal"/>
    <w:qFormat/>
    <w:rsid w:val="00FE264C"/>
    <w:pPr>
      <w:keepNext/>
      <w:jc w:val="center"/>
      <w:outlineLvl w:val="2"/>
    </w:pPr>
    <w:rPr>
      <w:rFonts w:ascii="Garamond" w:hAnsi="Garamond"/>
      <w:b/>
      <w:bCs/>
      <w:sz w:val="32"/>
      <w:u w:val="single"/>
    </w:rPr>
  </w:style>
  <w:style w:type="paragraph" w:styleId="Heading4">
    <w:name w:val="heading 4"/>
    <w:basedOn w:val="Normal"/>
    <w:next w:val="Normal"/>
    <w:qFormat/>
    <w:rsid w:val="00FE264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3"/>
    </w:pPr>
    <w:rPr>
      <w:rFonts w:ascii="Garamond" w:hAnsi="Garamond" w:cs="Times New Roman"/>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FE264C"/>
    <w:pPr>
      <w:jc w:val="center"/>
    </w:pPr>
    <w:rPr>
      <w:rFonts w:ascii="Enviro" w:hAnsi="Enviro" w:cs="Times New Roman"/>
      <w:b/>
      <w:bCs/>
      <w:sz w:val="32"/>
    </w:rPr>
  </w:style>
  <w:style w:type="paragraph" w:styleId="BodyText">
    <w:name w:val="Body Text"/>
    <w:basedOn w:val="Normal"/>
    <w:rsid w:val="00FE264C"/>
    <w:rPr>
      <w:rFonts w:ascii="Times New Roman" w:hAnsi="Times New Roman" w:cs="Times New Roman"/>
      <w:sz w:val="28"/>
    </w:rPr>
  </w:style>
  <w:style w:type="paragraph" w:styleId="BodyText2">
    <w:name w:val="Body Text 2"/>
    <w:basedOn w:val="Normal"/>
    <w:rsid w:val="00FE264C"/>
    <w:rPr>
      <w:rFonts w:ascii="Times New Roman" w:hAnsi="Times New Roman" w:cs="Times New Roman"/>
      <w:b/>
      <w:bCs/>
      <w:sz w:val="28"/>
    </w:rPr>
  </w:style>
  <w:style w:type="paragraph" w:styleId="BodyTextIndent">
    <w:name w:val="Body Text Indent"/>
    <w:basedOn w:val="Normal"/>
    <w:rsid w:val="00FE264C"/>
    <w:pPr>
      <w:ind w:left="360"/>
    </w:pPr>
    <w:rPr>
      <w:rFonts w:ascii="Taffy" w:hAnsi="Taffy"/>
      <w:sz w:val="28"/>
    </w:rPr>
  </w:style>
  <w:style w:type="character" w:styleId="Hyperlink">
    <w:name w:val="Hyperlink"/>
    <w:basedOn w:val="DefaultParagraphFont"/>
    <w:rsid w:val="00FE264C"/>
    <w:rPr>
      <w:color w:val="0000FF"/>
      <w:u w:val="single"/>
    </w:rPr>
  </w:style>
  <w:style w:type="paragraph" w:styleId="Footer">
    <w:name w:val="footer"/>
    <w:basedOn w:val="Normal"/>
    <w:rsid w:val="00FE264C"/>
    <w:pPr>
      <w:tabs>
        <w:tab w:val="center" w:pos="4320"/>
        <w:tab w:val="right" w:pos="8640"/>
      </w:tabs>
    </w:pPr>
  </w:style>
  <w:style w:type="character" w:styleId="PageNumber">
    <w:name w:val="page number"/>
    <w:basedOn w:val="DefaultParagraphFont"/>
    <w:rsid w:val="00FE264C"/>
  </w:style>
  <w:style w:type="paragraph" w:styleId="ListParagraph">
    <w:name w:val="List Paragraph"/>
    <w:basedOn w:val="Normal"/>
    <w:uiPriority w:val="34"/>
    <w:qFormat/>
    <w:rsid w:val="00476880"/>
    <w:pPr>
      <w:ind w:left="720"/>
      <w:contextualSpacing/>
    </w:pPr>
  </w:style>
  <w:style w:type="character" w:styleId="CommentReference">
    <w:name w:val="annotation reference"/>
    <w:basedOn w:val="DefaultParagraphFont"/>
    <w:rsid w:val="00A67DDA"/>
    <w:rPr>
      <w:sz w:val="16"/>
      <w:szCs w:val="16"/>
    </w:rPr>
  </w:style>
  <w:style w:type="paragraph" w:styleId="CommentText">
    <w:name w:val="annotation text"/>
    <w:basedOn w:val="Normal"/>
    <w:link w:val="CommentTextChar"/>
    <w:rsid w:val="00A67DDA"/>
    <w:rPr>
      <w:sz w:val="20"/>
      <w:szCs w:val="20"/>
    </w:rPr>
  </w:style>
  <w:style w:type="character" w:customStyle="1" w:styleId="CommentTextChar">
    <w:name w:val="Comment Text Char"/>
    <w:basedOn w:val="DefaultParagraphFont"/>
    <w:link w:val="CommentText"/>
    <w:rsid w:val="00A67DDA"/>
    <w:rPr>
      <w:rFonts w:ascii="Arial" w:hAnsi="Arial" w:cs="Arial"/>
    </w:rPr>
  </w:style>
  <w:style w:type="paragraph" w:styleId="CommentSubject">
    <w:name w:val="annotation subject"/>
    <w:basedOn w:val="CommentText"/>
    <w:next w:val="CommentText"/>
    <w:link w:val="CommentSubjectChar"/>
    <w:rsid w:val="00A67DDA"/>
    <w:rPr>
      <w:b/>
      <w:bCs/>
    </w:rPr>
  </w:style>
  <w:style w:type="character" w:customStyle="1" w:styleId="CommentSubjectChar">
    <w:name w:val="Comment Subject Char"/>
    <w:basedOn w:val="CommentTextChar"/>
    <w:link w:val="CommentSubject"/>
    <w:rsid w:val="00A67DDA"/>
    <w:rPr>
      <w:rFonts w:ascii="Arial" w:hAnsi="Arial" w:cs="Arial"/>
      <w:b/>
      <w:bCs/>
    </w:rPr>
  </w:style>
  <w:style w:type="paragraph" w:styleId="BalloonText">
    <w:name w:val="Balloon Text"/>
    <w:basedOn w:val="Normal"/>
    <w:link w:val="BalloonTextChar"/>
    <w:rsid w:val="00A67DDA"/>
    <w:rPr>
      <w:rFonts w:ascii="Tahoma" w:hAnsi="Tahoma" w:cs="Tahoma"/>
      <w:sz w:val="16"/>
      <w:szCs w:val="16"/>
    </w:rPr>
  </w:style>
  <w:style w:type="character" w:customStyle="1" w:styleId="BalloonTextChar">
    <w:name w:val="Balloon Text Char"/>
    <w:basedOn w:val="DefaultParagraphFont"/>
    <w:link w:val="BalloonText"/>
    <w:rsid w:val="00A67DDA"/>
    <w:rPr>
      <w:rFonts w:ascii="Tahoma" w:hAnsi="Tahoma" w:cs="Tahoma"/>
      <w:sz w:val="16"/>
      <w:szCs w:val="16"/>
    </w:rPr>
  </w:style>
  <w:style w:type="character" w:styleId="PlaceholderText">
    <w:name w:val="Placeholder Text"/>
    <w:basedOn w:val="DefaultParagraphFont"/>
    <w:uiPriority w:val="99"/>
    <w:semiHidden/>
    <w:rsid w:val="00A53F51"/>
    <w:rPr>
      <w:color w:val="808080"/>
    </w:rPr>
  </w:style>
  <w:style w:type="character" w:customStyle="1" w:styleId="Style14">
    <w:name w:val="Style14"/>
    <w:basedOn w:val="DefaultParagraphFont"/>
    <w:uiPriority w:val="1"/>
    <w:rsid w:val="007E100E"/>
    <w:rPr>
      <w:color w:val="55565A"/>
    </w:rPr>
  </w:style>
  <w:style w:type="character" w:customStyle="1" w:styleId="Style15">
    <w:name w:val="Style15"/>
    <w:basedOn w:val="DefaultParagraphFont"/>
    <w:uiPriority w:val="1"/>
    <w:rsid w:val="007E100E"/>
    <w:rPr>
      <w:color w:val="55565A"/>
    </w:rPr>
  </w:style>
  <w:style w:type="character" w:customStyle="1" w:styleId="Style16">
    <w:name w:val="Style16"/>
    <w:basedOn w:val="DefaultParagraphFont"/>
    <w:uiPriority w:val="1"/>
    <w:rsid w:val="007E100E"/>
    <w:rPr>
      <w:color w:val="55565A"/>
    </w:rPr>
  </w:style>
  <w:style w:type="character" w:customStyle="1" w:styleId="Style17">
    <w:name w:val="Style17"/>
    <w:basedOn w:val="DefaultParagraphFont"/>
    <w:uiPriority w:val="1"/>
    <w:rsid w:val="007E100E"/>
    <w:rPr>
      <w:color w:val="55565A"/>
    </w:rPr>
  </w:style>
  <w:style w:type="character" w:customStyle="1" w:styleId="Style18">
    <w:name w:val="Style18"/>
    <w:basedOn w:val="DefaultParagraphFont"/>
    <w:uiPriority w:val="1"/>
    <w:rsid w:val="007E100E"/>
    <w:rPr>
      <w:color w:val="55565A"/>
    </w:rPr>
  </w:style>
  <w:style w:type="character" w:customStyle="1" w:styleId="Style19">
    <w:name w:val="Style19"/>
    <w:basedOn w:val="DefaultParagraphFont"/>
    <w:uiPriority w:val="1"/>
    <w:rsid w:val="007E100E"/>
    <w:rPr>
      <w:color w:val="55565A"/>
    </w:rPr>
  </w:style>
  <w:style w:type="character" w:customStyle="1" w:styleId="Style20">
    <w:name w:val="Style20"/>
    <w:basedOn w:val="DefaultParagraphFont"/>
    <w:uiPriority w:val="1"/>
    <w:rsid w:val="007E100E"/>
    <w:rPr>
      <w:color w:val="55565A"/>
    </w:rPr>
  </w:style>
  <w:style w:type="character" w:customStyle="1" w:styleId="Style21">
    <w:name w:val="Style21"/>
    <w:basedOn w:val="DefaultParagraphFont"/>
    <w:uiPriority w:val="1"/>
    <w:rsid w:val="007E100E"/>
    <w:rPr>
      <w:color w:val="55565A"/>
    </w:rPr>
  </w:style>
  <w:style w:type="paragraph" w:styleId="NoSpacing">
    <w:name w:val="No Spacing"/>
    <w:uiPriority w:val="1"/>
    <w:qFormat/>
    <w:rsid w:val="00012A46"/>
    <w:rPr>
      <w:rFonts w:ascii="Arial" w:hAnsi="Arial" w:cs="Arial"/>
      <w:sz w:val="24"/>
      <w:szCs w:val="24"/>
    </w:rPr>
  </w:style>
  <w:style w:type="paragraph" w:styleId="Header">
    <w:name w:val="header"/>
    <w:basedOn w:val="Normal"/>
    <w:link w:val="HeaderChar"/>
    <w:unhideWhenUsed/>
    <w:rsid w:val="00F24D0E"/>
    <w:pPr>
      <w:tabs>
        <w:tab w:val="center" w:pos="4680"/>
        <w:tab w:val="right" w:pos="9360"/>
      </w:tabs>
    </w:pPr>
  </w:style>
  <w:style w:type="character" w:customStyle="1" w:styleId="HeaderChar">
    <w:name w:val="Header Char"/>
    <w:basedOn w:val="DefaultParagraphFont"/>
    <w:link w:val="Header"/>
    <w:rsid w:val="00F24D0E"/>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948</Words>
  <Characters>5412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SPECIAL EVENT GRANT APPLICATION &amp; GUIDELINES</vt:lpstr>
    </vt:vector>
  </TitlesOfParts>
  <Company>City of Joplin</Company>
  <LinksUpToDate>false</LinksUpToDate>
  <CharactersWithSpaces>6348</CharactersWithSpaces>
  <SharedDoc>false</SharedDoc>
  <HLinks>
    <vt:vector size="6" baseType="variant">
      <vt:variant>
        <vt:i4>2097170</vt:i4>
      </vt:variant>
      <vt:variant>
        <vt:i4>0</vt:i4>
      </vt:variant>
      <vt:variant>
        <vt:i4>0</vt:i4>
      </vt:variant>
      <vt:variant>
        <vt:i4>5</vt:i4>
      </vt:variant>
      <vt:variant>
        <vt:lpwstr>mailto:rob@visitbloomington.com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EVENT GRANT APPLICATION &amp; GUIDELINES</dc:title>
  <dc:creator>Erin White</dc:creator>
  <cp:lastModifiedBy>Erin White</cp:lastModifiedBy>
  <cp:revision>2</cp:revision>
  <cp:lastPrinted>2019-03-26T13:59:00Z</cp:lastPrinted>
  <dcterms:created xsi:type="dcterms:W3CDTF">2020-01-10T15:24:00Z</dcterms:created>
  <dcterms:modified xsi:type="dcterms:W3CDTF">2020-01-10T15:24:00Z</dcterms:modified>
</cp:coreProperties>
</file>