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FE" w:rsidRDefault="00D65DFE">
      <w:pPr>
        <w:pStyle w:val="BodyText"/>
        <w:spacing w:before="2"/>
        <w:ind w:firstLine="0"/>
        <w:rPr>
          <w:rFonts w:ascii="Times New Roman"/>
          <w:sz w:val="11"/>
        </w:rPr>
      </w:pPr>
    </w:p>
    <w:p w:rsidR="00D65DFE" w:rsidRDefault="00927220">
      <w:pPr>
        <w:pStyle w:val="ListParagraph"/>
        <w:numPr>
          <w:ilvl w:val="0"/>
          <w:numId w:val="1"/>
        </w:numPr>
        <w:tabs>
          <w:tab w:val="left" w:pos="460"/>
          <w:tab w:val="left" w:pos="461"/>
        </w:tabs>
        <w:spacing w:before="101" w:line="264" w:lineRule="auto"/>
        <w:ind w:right="165" w:hanging="360"/>
      </w:pPr>
      <w:bookmarkStart w:id="0" w:name="_Information_has_been_circulating_on_so"/>
      <w:bookmarkEnd w:id="0"/>
      <w:r>
        <w:rPr>
          <w:color w:val="161616"/>
        </w:rPr>
        <w:t xml:space="preserve">Information has been circulating on social media/media outlets of an individual </w:t>
      </w:r>
      <w:r>
        <w:rPr>
          <w:color w:val="161616"/>
          <w:spacing w:val="-2"/>
        </w:rPr>
        <w:t xml:space="preserve">who </w:t>
      </w:r>
      <w:r>
        <w:rPr>
          <w:color w:val="161616"/>
        </w:rPr>
        <w:t xml:space="preserve">developed an infection after visiting our area. </w:t>
      </w:r>
      <w:r>
        <w:rPr>
          <w:color w:val="161616"/>
          <w:spacing w:val="3"/>
        </w:rPr>
        <w:t xml:space="preserve">We </w:t>
      </w:r>
      <w:r>
        <w:rPr>
          <w:color w:val="161616"/>
        </w:rPr>
        <w:t xml:space="preserve">are taking this issue seriously and are working with the Indiana Department of Health to determine if this infection was caused by bacteria such as </w:t>
      </w:r>
      <w:r>
        <w:rPr>
          <w:i/>
          <w:color w:val="161616"/>
        </w:rPr>
        <w:t xml:space="preserve">Vibrio </w:t>
      </w:r>
      <w:proofErr w:type="spellStart"/>
      <w:r>
        <w:rPr>
          <w:i/>
          <w:color w:val="161616"/>
        </w:rPr>
        <w:t>vulnificus</w:t>
      </w:r>
      <w:proofErr w:type="spellEnd"/>
      <w:r>
        <w:rPr>
          <w:i/>
          <w:color w:val="161616"/>
        </w:rPr>
        <w:t xml:space="preserve"> </w:t>
      </w:r>
      <w:r>
        <w:rPr>
          <w:color w:val="161616"/>
        </w:rPr>
        <w:t>or other rep</w:t>
      </w:r>
      <w:bookmarkStart w:id="1" w:name="_GoBack"/>
      <w:bookmarkEnd w:id="1"/>
      <w:r>
        <w:rPr>
          <w:color w:val="161616"/>
        </w:rPr>
        <w:t>ortable disease. Currently, we do not have any information about this individual’s</w:t>
      </w:r>
      <w:r>
        <w:rPr>
          <w:color w:val="161616"/>
          <w:spacing w:val="-1"/>
        </w:rPr>
        <w:t xml:space="preserve"> </w:t>
      </w:r>
      <w:r>
        <w:rPr>
          <w:color w:val="161616"/>
        </w:rPr>
        <w:t>illness.</w:t>
      </w:r>
    </w:p>
    <w:p w:rsidR="00D65DFE" w:rsidRDefault="00927220">
      <w:pPr>
        <w:pStyle w:val="ListParagraph"/>
        <w:numPr>
          <w:ilvl w:val="0"/>
          <w:numId w:val="1"/>
        </w:numPr>
        <w:tabs>
          <w:tab w:val="left" w:pos="461"/>
        </w:tabs>
        <w:spacing w:before="177"/>
        <w:ind w:right="463" w:hanging="360"/>
        <w:jc w:val="both"/>
      </w:pPr>
      <w:r>
        <w:rPr>
          <w:color w:val="161616"/>
        </w:rPr>
        <w:t>Necrotizing fasciitis (many times called “flesh eating bacteria” by the media) is caused by more than one type of bacteria. Several bacteria, common in our environment can cause this condition – the most common cause of necrotizing fasciitis is Group A</w:t>
      </w:r>
      <w:r>
        <w:rPr>
          <w:color w:val="161616"/>
          <w:spacing w:val="-22"/>
        </w:rPr>
        <w:t xml:space="preserve"> </w:t>
      </w:r>
      <w:r>
        <w:rPr>
          <w:color w:val="161616"/>
        </w:rPr>
        <w:t>strep.</w:t>
      </w:r>
    </w:p>
    <w:p w:rsidR="00D65DFE" w:rsidRDefault="00D65DFE">
      <w:pPr>
        <w:pStyle w:val="BodyText"/>
        <w:ind w:firstLine="0"/>
      </w:pPr>
    </w:p>
    <w:p w:rsidR="00D65DFE" w:rsidRDefault="00927220">
      <w:pPr>
        <w:pStyle w:val="ListParagraph"/>
        <w:numPr>
          <w:ilvl w:val="0"/>
          <w:numId w:val="1"/>
        </w:numPr>
        <w:tabs>
          <w:tab w:val="left" w:pos="460"/>
          <w:tab w:val="left" w:pos="461"/>
        </w:tabs>
        <w:spacing w:before="1" w:line="237" w:lineRule="auto"/>
        <w:ind w:right="646" w:hanging="360"/>
      </w:pPr>
      <w:r>
        <w:rPr>
          <w:color w:val="161616"/>
        </w:rPr>
        <w:t>People do not “catch” necrotizing fasciitis; it is a complication or symptom of a bacterial infection that has not been promptly or properly</w:t>
      </w:r>
      <w:r>
        <w:rPr>
          <w:color w:val="161616"/>
          <w:spacing w:val="-10"/>
        </w:rPr>
        <w:t xml:space="preserve"> </w:t>
      </w:r>
      <w:r>
        <w:rPr>
          <w:color w:val="161616"/>
        </w:rPr>
        <w:t>treated.</w:t>
      </w:r>
    </w:p>
    <w:p w:rsidR="00D65DFE" w:rsidRDefault="00D65DFE">
      <w:pPr>
        <w:pStyle w:val="BodyText"/>
        <w:ind w:firstLine="0"/>
      </w:pPr>
    </w:p>
    <w:p w:rsidR="00D65DFE" w:rsidRDefault="00927220">
      <w:pPr>
        <w:pStyle w:val="ListParagraph"/>
        <w:numPr>
          <w:ilvl w:val="0"/>
          <w:numId w:val="1"/>
        </w:numPr>
        <w:tabs>
          <w:tab w:val="left" w:pos="461"/>
        </w:tabs>
        <w:ind w:left="461" w:right="634"/>
        <w:jc w:val="both"/>
      </w:pPr>
      <w:r>
        <w:rPr>
          <w:color w:val="161616"/>
        </w:rPr>
        <w:t xml:space="preserve">Sometimes people call </w:t>
      </w:r>
      <w:r>
        <w:rPr>
          <w:i/>
          <w:color w:val="161616"/>
        </w:rPr>
        <w:t xml:space="preserve">Vibrio </w:t>
      </w:r>
      <w:proofErr w:type="spellStart"/>
      <w:r>
        <w:rPr>
          <w:i/>
          <w:color w:val="161616"/>
        </w:rPr>
        <w:t>vulnificus</w:t>
      </w:r>
      <w:proofErr w:type="spellEnd"/>
      <w:r>
        <w:rPr>
          <w:i/>
          <w:color w:val="161616"/>
        </w:rPr>
        <w:t xml:space="preserve"> </w:t>
      </w:r>
      <w:r>
        <w:rPr>
          <w:color w:val="161616"/>
        </w:rPr>
        <w:t xml:space="preserve">the “flesh eating bacteria.” </w:t>
      </w:r>
      <w:r>
        <w:rPr>
          <w:i/>
          <w:color w:val="161616"/>
        </w:rPr>
        <w:t xml:space="preserve">Vibrio </w:t>
      </w:r>
      <w:proofErr w:type="spellStart"/>
      <w:r>
        <w:rPr>
          <w:i/>
          <w:color w:val="161616"/>
        </w:rPr>
        <w:t>vulnificus</w:t>
      </w:r>
      <w:proofErr w:type="spellEnd"/>
      <w:r>
        <w:rPr>
          <w:i/>
          <w:color w:val="161616"/>
        </w:rPr>
        <w:t xml:space="preserve"> </w:t>
      </w:r>
      <w:r>
        <w:rPr>
          <w:color w:val="161616"/>
        </w:rPr>
        <w:t>is a naturally occurring bacteria found in warm salty waters such as the Gulf of Mexico and surrounding bays. Concentrations of this bacteria are higher when the water is</w:t>
      </w:r>
      <w:r>
        <w:rPr>
          <w:color w:val="161616"/>
          <w:spacing w:val="-38"/>
        </w:rPr>
        <w:t xml:space="preserve"> </w:t>
      </w:r>
      <w:r>
        <w:rPr>
          <w:color w:val="161616"/>
        </w:rPr>
        <w:t>warmer.</w:t>
      </w:r>
    </w:p>
    <w:p w:rsidR="00D65DFE" w:rsidRDefault="00D65DFE">
      <w:pPr>
        <w:pStyle w:val="BodyText"/>
        <w:spacing w:before="10"/>
        <w:ind w:firstLine="0"/>
        <w:rPr>
          <w:sz w:val="21"/>
        </w:rPr>
      </w:pPr>
    </w:p>
    <w:p w:rsidR="00D65DFE" w:rsidRDefault="00927220">
      <w:pPr>
        <w:pStyle w:val="ListParagraph"/>
        <w:numPr>
          <w:ilvl w:val="0"/>
          <w:numId w:val="1"/>
        </w:numPr>
        <w:tabs>
          <w:tab w:val="left" w:pos="461"/>
          <w:tab w:val="left" w:pos="462"/>
        </w:tabs>
        <w:ind w:left="462" w:right="386"/>
      </w:pPr>
      <w:r>
        <w:rPr>
          <w:color w:val="161616"/>
        </w:rPr>
        <w:t xml:space="preserve">Necrotizing fasciitis and severe infections with </w:t>
      </w:r>
      <w:r>
        <w:rPr>
          <w:i/>
          <w:color w:val="161616"/>
        </w:rPr>
        <w:t xml:space="preserve">Vibrio </w:t>
      </w:r>
      <w:proofErr w:type="spellStart"/>
      <w:r>
        <w:rPr>
          <w:i/>
          <w:color w:val="161616"/>
        </w:rPr>
        <w:t>vulnificus</w:t>
      </w:r>
      <w:proofErr w:type="spellEnd"/>
      <w:r>
        <w:rPr>
          <w:i/>
          <w:color w:val="161616"/>
        </w:rPr>
        <w:t xml:space="preserve"> </w:t>
      </w:r>
      <w:r>
        <w:rPr>
          <w:color w:val="161616"/>
        </w:rPr>
        <w:t>are rare. These infections can be treated with antibiotics and sometimes require surgery to remove damaged tissue. Rapid diagnosis is the key to effective treatment and</w:t>
      </w:r>
      <w:r>
        <w:rPr>
          <w:color w:val="161616"/>
          <w:spacing w:val="-10"/>
        </w:rPr>
        <w:t xml:space="preserve"> </w:t>
      </w:r>
      <w:r>
        <w:rPr>
          <w:color w:val="161616"/>
        </w:rPr>
        <w:t>recovery.</w:t>
      </w:r>
    </w:p>
    <w:p w:rsidR="00D65DFE" w:rsidRDefault="00D65DFE">
      <w:pPr>
        <w:pStyle w:val="BodyText"/>
        <w:ind w:firstLine="0"/>
      </w:pPr>
    </w:p>
    <w:p w:rsidR="00D65DFE" w:rsidRDefault="00927220">
      <w:pPr>
        <w:pStyle w:val="ListParagraph"/>
        <w:numPr>
          <w:ilvl w:val="0"/>
          <w:numId w:val="1"/>
        </w:numPr>
        <w:tabs>
          <w:tab w:val="left" w:pos="462"/>
          <w:tab w:val="left" w:pos="463"/>
        </w:tabs>
        <w:spacing w:line="237" w:lineRule="auto"/>
        <w:ind w:left="462" w:right="732" w:hanging="360"/>
      </w:pPr>
      <w:r>
        <w:rPr>
          <w:color w:val="161616"/>
        </w:rPr>
        <w:t>If you are healthy with a strong immune system, your chances of developing or</w:t>
      </w:r>
      <w:r>
        <w:rPr>
          <w:color w:val="161616"/>
          <w:spacing w:val="-39"/>
        </w:rPr>
        <w:t xml:space="preserve"> </w:t>
      </w:r>
      <w:r>
        <w:rPr>
          <w:color w:val="161616"/>
        </w:rPr>
        <w:t>having complications due to this condition are extremely</w:t>
      </w:r>
      <w:r>
        <w:rPr>
          <w:color w:val="161616"/>
          <w:spacing w:val="-9"/>
        </w:rPr>
        <w:t xml:space="preserve"> </w:t>
      </w:r>
      <w:r>
        <w:rPr>
          <w:color w:val="161616"/>
        </w:rPr>
        <w:t>low.</w:t>
      </w:r>
    </w:p>
    <w:p w:rsidR="00D65DFE" w:rsidRDefault="00D65DFE">
      <w:pPr>
        <w:pStyle w:val="BodyText"/>
        <w:ind w:firstLine="0"/>
        <w:rPr>
          <w:sz w:val="24"/>
        </w:rPr>
      </w:pPr>
    </w:p>
    <w:p w:rsidR="00D65DFE" w:rsidRDefault="00927220">
      <w:pPr>
        <w:spacing w:before="204"/>
        <w:ind w:left="102"/>
        <w:rPr>
          <w:b/>
        </w:rPr>
      </w:pPr>
      <w:r>
        <w:rPr>
          <w:b/>
          <w:color w:val="161616"/>
        </w:rPr>
        <w:t>HOW TO REDUCE YOUR RISK OF EXPOSURE</w:t>
      </w:r>
    </w:p>
    <w:p w:rsidR="00D65DFE" w:rsidRDefault="00D65DFE">
      <w:pPr>
        <w:pStyle w:val="BodyText"/>
        <w:spacing w:before="4"/>
        <w:ind w:firstLine="0"/>
        <w:rPr>
          <w:b/>
        </w:rPr>
      </w:pPr>
    </w:p>
    <w:p w:rsidR="00D65DFE" w:rsidRDefault="00927220">
      <w:pPr>
        <w:pStyle w:val="ListParagraph"/>
        <w:numPr>
          <w:ilvl w:val="0"/>
          <w:numId w:val="1"/>
        </w:numPr>
        <w:tabs>
          <w:tab w:val="left" w:pos="462"/>
          <w:tab w:val="left" w:pos="463"/>
        </w:tabs>
        <w:spacing w:line="237" w:lineRule="auto"/>
        <w:ind w:right="117" w:hanging="358"/>
      </w:pPr>
      <w:r>
        <w:rPr>
          <w:color w:val="161616"/>
        </w:rPr>
        <w:t>The Centers for Disease Control and Prevention (CDC) encourages all people to avoid open bodies of water (such as the Gulf), pools and hot tubs with breaks in the skin. These can include cuts and scrapes, burns, insect bites, puncture wounds, or surgical</w:t>
      </w:r>
      <w:r>
        <w:rPr>
          <w:color w:val="161616"/>
          <w:spacing w:val="-17"/>
        </w:rPr>
        <w:t xml:space="preserve"> </w:t>
      </w:r>
      <w:r>
        <w:rPr>
          <w:color w:val="161616"/>
        </w:rPr>
        <w:t>wounds.</w:t>
      </w:r>
    </w:p>
    <w:p w:rsidR="00D65DFE" w:rsidRDefault="00D65DFE">
      <w:pPr>
        <w:pStyle w:val="BodyText"/>
        <w:spacing w:before="7"/>
        <w:ind w:firstLine="0"/>
      </w:pPr>
    </w:p>
    <w:p w:rsidR="00D65DFE" w:rsidRDefault="00927220">
      <w:pPr>
        <w:pStyle w:val="ListParagraph"/>
        <w:numPr>
          <w:ilvl w:val="0"/>
          <w:numId w:val="1"/>
        </w:numPr>
        <w:tabs>
          <w:tab w:val="left" w:pos="462"/>
          <w:tab w:val="left" w:pos="463"/>
        </w:tabs>
        <w:spacing w:before="1" w:line="237" w:lineRule="auto"/>
        <w:ind w:right="449" w:hanging="358"/>
      </w:pPr>
      <w:r>
        <w:rPr>
          <w:color w:val="161616"/>
        </w:rPr>
        <w:t xml:space="preserve">The Florida Department of Health and the CDC encourage good wound care, as the best way to prevent </w:t>
      </w:r>
      <w:r>
        <w:rPr>
          <w:b/>
          <w:color w:val="161616"/>
          <w:u w:val="thick" w:color="161616"/>
        </w:rPr>
        <w:t>any</w:t>
      </w:r>
      <w:r>
        <w:rPr>
          <w:b/>
          <w:color w:val="161616"/>
        </w:rPr>
        <w:t xml:space="preserve"> </w:t>
      </w:r>
      <w:r>
        <w:rPr>
          <w:color w:val="161616"/>
        </w:rPr>
        <w:t>bacterial skin infection. Keep open wounds covered with clean, dry bandages until healed and don't delay first aid of even minor, non-infected wounds like blisters, scrapes or any break in the</w:t>
      </w:r>
      <w:r>
        <w:rPr>
          <w:color w:val="161616"/>
          <w:spacing w:val="-1"/>
        </w:rPr>
        <w:t xml:space="preserve"> </w:t>
      </w:r>
      <w:r>
        <w:rPr>
          <w:color w:val="161616"/>
        </w:rPr>
        <w:t>skin.</w:t>
      </w:r>
    </w:p>
    <w:p w:rsidR="00D65DFE" w:rsidRDefault="00D65DFE">
      <w:pPr>
        <w:pStyle w:val="BodyText"/>
        <w:spacing w:before="5"/>
        <w:ind w:firstLine="0"/>
      </w:pPr>
    </w:p>
    <w:p w:rsidR="00D65DFE" w:rsidRDefault="00927220">
      <w:pPr>
        <w:pStyle w:val="ListParagraph"/>
        <w:numPr>
          <w:ilvl w:val="0"/>
          <w:numId w:val="1"/>
        </w:numPr>
        <w:tabs>
          <w:tab w:val="left" w:pos="462"/>
          <w:tab w:val="left" w:pos="463"/>
        </w:tabs>
        <w:spacing w:line="268" w:lineRule="exact"/>
        <w:ind w:left="462" w:hanging="360"/>
      </w:pPr>
      <w:r>
        <w:rPr>
          <w:color w:val="161616"/>
        </w:rPr>
        <w:t xml:space="preserve">You can prevent </w:t>
      </w:r>
      <w:r>
        <w:rPr>
          <w:color w:val="161616"/>
          <w:spacing w:val="-3"/>
        </w:rPr>
        <w:t xml:space="preserve">these </w:t>
      </w:r>
      <w:r>
        <w:rPr>
          <w:color w:val="161616"/>
        </w:rPr>
        <w:t>types of infections when at the beach or bay</w:t>
      </w:r>
      <w:r>
        <w:rPr>
          <w:color w:val="161616"/>
          <w:spacing w:val="3"/>
        </w:rPr>
        <w:t xml:space="preserve"> </w:t>
      </w:r>
      <w:r>
        <w:rPr>
          <w:color w:val="161616"/>
          <w:spacing w:val="-3"/>
        </w:rPr>
        <w:t>by:</w:t>
      </w:r>
    </w:p>
    <w:p w:rsidR="00D65DFE" w:rsidRDefault="00927220">
      <w:pPr>
        <w:pStyle w:val="ListParagraph"/>
        <w:numPr>
          <w:ilvl w:val="1"/>
          <w:numId w:val="1"/>
        </w:numPr>
        <w:tabs>
          <w:tab w:val="left" w:pos="820"/>
          <w:tab w:val="left" w:pos="821"/>
        </w:tabs>
        <w:spacing w:line="268" w:lineRule="exact"/>
        <w:ind w:hanging="360"/>
      </w:pPr>
      <w:r>
        <w:rPr>
          <w:color w:val="161616"/>
        </w:rPr>
        <w:t xml:space="preserve">Avoiding walking, sitting, or swimming in </w:t>
      </w:r>
      <w:r>
        <w:rPr>
          <w:color w:val="161616"/>
          <w:spacing w:val="-3"/>
        </w:rPr>
        <w:t xml:space="preserve">Gulf </w:t>
      </w:r>
      <w:r>
        <w:rPr>
          <w:color w:val="161616"/>
        </w:rPr>
        <w:t>or bay waters with open</w:t>
      </w:r>
      <w:r>
        <w:rPr>
          <w:color w:val="161616"/>
          <w:spacing w:val="-2"/>
        </w:rPr>
        <w:t xml:space="preserve"> </w:t>
      </w:r>
      <w:r>
        <w:rPr>
          <w:color w:val="161616"/>
        </w:rPr>
        <w:t>wounds,</w:t>
      </w:r>
    </w:p>
    <w:p w:rsidR="00D65DFE" w:rsidRDefault="00927220">
      <w:pPr>
        <w:pStyle w:val="ListParagraph"/>
        <w:numPr>
          <w:ilvl w:val="1"/>
          <w:numId w:val="1"/>
        </w:numPr>
        <w:tabs>
          <w:tab w:val="left" w:pos="820"/>
          <w:tab w:val="left" w:pos="821"/>
        </w:tabs>
        <w:spacing w:line="268" w:lineRule="exact"/>
        <w:ind w:hanging="360"/>
      </w:pPr>
      <w:r>
        <w:rPr>
          <w:color w:val="161616"/>
        </w:rPr>
        <w:t>Properly cleaning and treating wounds with warm water and soap</w:t>
      </w:r>
      <w:r>
        <w:rPr>
          <w:color w:val="161616"/>
          <w:spacing w:val="8"/>
        </w:rPr>
        <w:t xml:space="preserve"> </w:t>
      </w:r>
      <w:r>
        <w:rPr>
          <w:color w:val="161616"/>
          <w:spacing w:val="-3"/>
        </w:rPr>
        <w:t>after:</w:t>
      </w:r>
    </w:p>
    <w:p w:rsidR="00D65DFE" w:rsidRDefault="00927220">
      <w:pPr>
        <w:pStyle w:val="ListParagraph"/>
        <w:numPr>
          <w:ilvl w:val="2"/>
          <w:numId w:val="1"/>
        </w:numPr>
        <w:tabs>
          <w:tab w:val="left" w:pos="1540"/>
          <w:tab w:val="left" w:pos="1541"/>
        </w:tabs>
        <w:spacing w:line="261" w:lineRule="exact"/>
        <w:ind w:hanging="360"/>
      </w:pPr>
      <w:r>
        <w:rPr>
          <w:color w:val="161616"/>
        </w:rPr>
        <w:t>Accidentally exposing a wound to Gulf or bay</w:t>
      </w:r>
      <w:r>
        <w:rPr>
          <w:color w:val="161616"/>
          <w:spacing w:val="-4"/>
        </w:rPr>
        <w:t xml:space="preserve"> </w:t>
      </w:r>
      <w:r>
        <w:rPr>
          <w:color w:val="161616"/>
        </w:rPr>
        <w:t>waters,</w:t>
      </w:r>
    </w:p>
    <w:p w:rsidR="00D65DFE" w:rsidRDefault="00927220">
      <w:pPr>
        <w:pStyle w:val="ListParagraph"/>
        <w:numPr>
          <w:ilvl w:val="2"/>
          <w:numId w:val="1"/>
        </w:numPr>
        <w:tabs>
          <w:tab w:val="left" w:pos="1540"/>
          <w:tab w:val="left" w:pos="1541"/>
        </w:tabs>
        <w:spacing w:line="253" w:lineRule="exact"/>
        <w:ind w:hanging="360"/>
      </w:pPr>
      <w:r>
        <w:rPr>
          <w:color w:val="161616"/>
        </w:rPr>
        <w:t>Getting an injured while in the water,</w:t>
      </w:r>
      <w:r>
        <w:rPr>
          <w:color w:val="161616"/>
          <w:spacing w:val="-9"/>
        </w:rPr>
        <w:t xml:space="preserve"> </w:t>
      </w:r>
      <w:r>
        <w:rPr>
          <w:color w:val="161616"/>
        </w:rPr>
        <w:t>or</w:t>
      </w:r>
    </w:p>
    <w:p w:rsidR="00D65DFE" w:rsidRDefault="00927220">
      <w:pPr>
        <w:pStyle w:val="ListParagraph"/>
        <w:numPr>
          <w:ilvl w:val="2"/>
          <w:numId w:val="1"/>
        </w:numPr>
        <w:tabs>
          <w:tab w:val="left" w:pos="1540"/>
          <w:tab w:val="left" w:pos="1541"/>
        </w:tabs>
        <w:spacing w:line="254" w:lineRule="exact"/>
        <w:ind w:hanging="360"/>
      </w:pPr>
      <w:r>
        <w:rPr>
          <w:color w:val="161616"/>
        </w:rPr>
        <w:t>Getting an injury while cleaning or handling</w:t>
      </w:r>
      <w:r>
        <w:rPr>
          <w:color w:val="161616"/>
          <w:spacing w:val="1"/>
        </w:rPr>
        <w:t xml:space="preserve"> </w:t>
      </w:r>
      <w:r>
        <w:rPr>
          <w:color w:val="161616"/>
        </w:rPr>
        <w:t>seafood.</w:t>
      </w:r>
    </w:p>
    <w:p w:rsidR="00D65DFE" w:rsidRDefault="00927220">
      <w:pPr>
        <w:pStyle w:val="ListParagraph"/>
        <w:numPr>
          <w:ilvl w:val="1"/>
          <w:numId w:val="1"/>
        </w:numPr>
        <w:tabs>
          <w:tab w:val="left" w:pos="820"/>
          <w:tab w:val="left" w:pos="821"/>
        </w:tabs>
        <w:spacing w:line="237" w:lineRule="auto"/>
        <w:ind w:right="148" w:hanging="360"/>
      </w:pPr>
      <w:r>
        <w:rPr>
          <w:color w:val="161616"/>
        </w:rPr>
        <w:t>Seeking medical treatment immediately if you develop signs or symptoms of an infection (redness, swelling, fever, severe pain in area of red or swollen skin) near or around a wound.</w:t>
      </w:r>
    </w:p>
    <w:p w:rsidR="00D65DFE" w:rsidRDefault="00D65DFE">
      <w:pPr>
        <w:spacing w:line="237" w:lineRule="auto"/>
        <w:sectPr w:rsidR="00D65DFE">
          <w:headerReference w:type="default" r:id="rId8"/>
          <w:type w:val="continuous"/>
          <w:pgSz w:w="12240" w:h="15840"/>
          <w:pgMar w:top="2200" w:right="1340" w:bottom="280" w:left="1340" w:header="779" w:footer="720" w:gutter="0"/>
          <w:cols w:space="720"/>
        </w:sectPr>
      </w:pPr>
    </w:p>
    <w:p w:rsidR="00D65DFE" w:rsidRDefault="00D65DFE">
      <w:pPr>
        <w:pStyle w:val="BodyText"/>
        <w:spacing w:before="10"/>
        <w:ind w:firstLine="0"/>
        <w:rPr>
          <w:sz w:val="9"/>
        </w:rPr>
      </w:pPr>
    </w:p>
    <w:p w:rsidR="00D65DFE" w:rsidRDefault="00927220">
      <w:pPr>
        <w:pStyle w:val="ListParagraph"/>
        <w:numPr>
          <w:ilvl w:val="0"/>
          <w:numId w:val="1"/>
        </w:numPr>
        <w:tabs>
          <w:tab w:val="left" w:pos="460"/>
          <w:tab w:val="left" w:pos="461"/>
        </w:tabs>
        <w:spacing w:before="101"/>
        <w:ind w:right="243" w:hanging="360"/>
      </w:pPr>
      <w:r>
        <w:rPr>
          <w:color w:val="161616"/>
        </w:rPr>
        <w:t>People with the greatest risk of exposure to bacteria in water bodies, pools or hots tubs are very young children, the elderly (&gt;64 years old), and people with chronic diseases and/or weaken immune systems since their ability to fight off infection can be limited by disease or age. This doesn’t mean you can’t enjoy the Gulf, bay, pools or hot tubs. Rather you are encouraged to monitor your overall health and skin condition for possible signs of</w:t>
      </w:r>
      <w:r>
        <w:rPr>
          <w:color w:val="161616"/>
          <w:spacing w:val="-38"/>
        </w:rPr>
        <w:t xml:space="preserve"> </w:t>
      </w:r>
      <w:r>
        <w:rPr>
          <w:color w:val="161616"/>
        </w:rPr>
        <w:t>infection.</w:t>
      </w:r>
    </w:p>
    <w:p w:rsidR="00D65DFE" w:rsidRDefault="00D65DFE">
      <w:pPr>
        <w:pStyle w:val="BodyText"/>
        <w:spacing w:before="11"/>
        <w:ind w:firstLine="0"/>
        <w:rPr>
          <w:sz w:val="21"/>
        </w:rPr>
      </w:pPr>
    </w:p>
    <w:p w:rsidR="00D65DFE" w:rsidRDefault="00927220">
      <w:pPr>
        <w:pStyle w:val="ListParagraph"/>
        <w:numPr>
          <w:ilvl w:val="0"/>
          <w:numId w:val="1"/>
        </w:numPr>
        <w:tabs>
          <w:tab w:val="left" w:pos="460"/>
          <w:tab w:val="left" w:pos="461"/>
        </w:tabs>
        <w:ind w:right="267" w:hanging="360"/>
      </w:pPr>
      <w:r>
        <w:rPr>
          <w:color w:val="161616"/>
        </w:rPr>
        <w:t>It is important for individuals receiving medical care to let their doctor know of any recent exposure to Gulf or bay waters, pools or hot tubs. Timely treatment is necessary to prevent serious complications.</w:t>
      </w:r>
    </w:p>
    <w:sectPr w:rsidR="00D65DFE">
      <w:pgSz w:w="12240" w:h="15840"/>
      <w:pgMar w:top="2200" w:right="1340" w:bottom="280" w:left="1340" w:header="7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20" w:rsidRDefault="00927220">
      <w:r>
        <w:separator/>
      </w:r>
    </w:p>
  </w:endnote>
  <w:endnote w:type="continuationSeparator" w:id="0">
    <w:p w:rsidR="00927220" w:rsidRDefault="0092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20" w:rsidRDefault="00927220">
      <w:r>
        <w:separator/>
      </w:r>
    </w:p>
  </w:footnote>
  <w:footnote w:type="continuationSeparator" w:id="0">
    <w:p w:rsidR="00927220" w:rsidRDefault="00927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FE" w:rsidRDefault="00927220">
    <w:pPr>
      <w:pStyle w:val="BodyText"/>
      <w:spacing w:line="14" w:lineRule="auto"/>
      <w:ind w:firstLine="0"/>
      <w:rPr>
        <w:sz w:val="20"/>
      </w:rPr>
    </w:pPr>
    <w:r>
      <w:rPr>
        <w:noProof/>
        <w:lang w:bidi="ar-SA"/>
      </w:rPr>
      <w:drawing>
        <wp:anchor distT="0" distB="0" distL="0" distR="0" simplePos="0" relativeHeight="251657216" behindDoc="1" locked="0" layoutInCell="1" allowOverlap="1">
          <wp:simplePos x="0" y="0"/>
          <wp:positionH relativeFrom="page">
            <wp:posOffset>6038854</wp:posOffset>
          </wp:positionH>
          <wp:positionV relativeFrom="page">
            <wp:posOffset>494658</wp:posOffset>
          </wp:positionV>
          <wp:extent cx="809615" cy="9137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9615" cy="913776"/>
                  </a:xfrm>
                  <a:prstGeom prst="rect">
                    <a:avLst/>
                  </a:prstGeom>
                </pic:spPr>
              </pic:pic>
            </a:graphicData>
          </a:graphic>
        </wp:anchor>
      </w:drawing>
    </w:r>
    <w:r w:rsidR="00884BAC">
      <w:rPr>
        <w:noProof/>
        <w:lang w:bidi="ar-SA"/>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1171575</wp:posOffset>
              </wp:positionV>
              <wp:extent cx="4146550" cy="2247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DFE" w:rsidRDefault="00927220">
                          <w:pPr>
                            <w:spacing w:before="11"/>
                            <w:ind w:left="20"/>
                            <w:rPr>
                              <w:b/>
                              <w:sz w:val="28"/>
                            </w:rPr>
                          </w:pPr>
                          <w:r>
                            <w:rPr>
                              <w:b/>
                              <w:sz w:val="28"/>
                            </w:rPr>
                            <w:t>INFORMATION ABOUT NECROTIZING FASCIITIS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1" o:spid="_x0000_s1026" type="#_x0000_t202" style="position:absolute;margin-left:71pt;margin-top:92.25pt;width:326.5pt;height:1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" filled="f" stroked="f">
              <v:textbox inset="0,0,0,0">
                <w:txbxContent>
                  <w:p w:rsidR="00D65DFE" w:rsidRDefault="00927220">
                    <w:pPr>
                      <w:spacing w:before="11"/>
                      <w:ind w:left="20"/>
                      <w:rPr>
                        <w:b/>
                        <w:sz w:val="28"/>
                      </w:rPr>
                    </w:pPr>
                    <w:r>
                      <w:rPr>
                        <w:b/>
                        <w:sz w:val="28"/>
                      </w:rPr>
                      <w:t>INFORMATION ABOUT NECROTIZING FASCIITIS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46DE"/>
    <w:multiLevelType w:val="hybridMultilevel"/>
    <w:tmpl w:val="077C855E"/>
    <w:lvl w:ilvl="0" w:tplc="CF86EC56">
      <w:numFmt w:val="bullet"/>
      <w:lvlText w:val=""/>
      <w:lvlJc w:val="left"/>
      <w:pPr>
        <w:ind w:left="460" w:hanging="361"/>
      </w:pPr>
      <w:rPr>
        <w:rFonts w:ascii="Symbol" w:eastAsia="Symbol" w:hAnsi="Symbol" w:cs="Symbol" w:hint="default"/>
        <w:color w:val="161616"/>
        <w:w w:val="100"/>
        <w:sz w:val="22"/>
        <w:szCs w:val="22"/>
        <w:lang w:val="en-US" w:eastAsia="en-US" w:bidi="en-US"/>
      </w:rPr>
    </w:lvl>
    <w:lvl w:ilvl="1" w:tplc="3C9A314E">
      <w:numFmt w:val="bullet"/>
      <w:lvlText w:val=""/>
      <w:lvlJc w:val="left"/>
      <w:pPr>
        <w:ind w:left="820" w:hanging="361"/>
      </w:pPr>
      <w:rPr>
        <w:rFonts w:ascii="Symbol" w:eastAsia="Symbol" w:hAnsi="Symbol" w:cs="Symbol" w:hint="default"/>
        <w:color w:val="161616"/>
        <w:w w:val="100"/>
        <w:sz w:val="22"/>
        <w:szCs w:val="22"/>
        <w:lang w:val="en-US" w:eastAsia="en-US" w:bidi="en-US"/>
      </w:rPr>
    </w:lvl>
    <w:lvl w:ilvl="2" w:tplc="C82261D2">
      <w:numFmt w:val="bullet"/>
      <w:lvlText w:val="o"/>
      <w:lvlJc w:val="left"/>
      <w:pPr>
        <w:ind w:left="1540" w:hanging="361"/>
      </w:pPr>
      <w:rPr>
        <w:rFonts w:ascii="Courier New" w:eastAsia="Courier New" w:hAnsi="Courier New" w:cs="Courier New" w:hint="default"/>
        <w:color w:val="161616"/>
        <w:w w:val="100"/>
        <w:sz w:val="22"/>
        <w:szCs w:val="22"/>
        <w:lang w:val="en-US" w:eastAsia="en-US" w:bidi="en-US"/>
      </w:rPr>
    </w:lvl>
    <w:lvl w:ilvl="3" w:tplc="3146B53E">
      <w:numFmt w:val="bullet"/>
      <w:lvlText w:val="•"/>
      <w:lvlJc w:val="left"/>
      <w:pPr>
        <w:ind w:left="2542" w:hanging="361"/>
      </w:pPr>
      <w:rPr>
        <w:rFonts w:hint="default"/>
        <w:lang w:val="en-US" w:eastAsia="en-US" w:bidi="en-US"/>
      </w:rPr>
    </w:lvl>
    <w:lvl w:ilvl="4" w:tplc="902C823C">
      <w:numFmt w:val="bullet"/>
      <w:lvlText w:val="•"/>
      <w:lvlJc w:val="left"/>
      <w:pPr>
        <w:ind w:left="3545" w:hanging="361"/>
      </w:pPr>
      <w:rPr>
        <w:rFonts w:hint="default"/>
        <w:lang w:val="en-US" w:eastAsia="en-US" w:bidi="en-US"/>
      </w:rPr>
    </w:lvl>
    <w:lvl w:ilvl="5" w:tplc="9A3C9F38">
      <w:numFmt w:val="bullet"/>
      <w:lvlText w:val="•"/>
      <w:lvlJc w:val="left"/>
      <w:pPr>
        <w:ind w:left="4547" w:hanging="361"/>
      </w:pPr>
      <w:rPr>
        <w:rFonts w:hint="default"/>
        <w:lang w:val="en-US" w:eastAsia="en-US" w:bidi="en-US"/>
      </w:rPr>
    </w:lvl>
    <w:lvl w:ilvl="6" w:tplc="A906DBE8">
      <w:numFmt w:val="bullet"/>
      <w:lvlText w:val="•"/>
      <w:lvlJc w:val="left"/>
      <w:pPr>
        <w:ind w:left="5550" w:hanging="361"/>
      </w:pPr>
      <w:rPr>
        <w:rFonts w:hint="default"/>
        <w:lang w:val="en-US" w:eastAsia="en-US" w:bidi="en-US"/>
      </w:rPr>
    </w:lvl>
    <w:lvl w:ilvl="7" w:tplc="E32C956C">
      <w:numFmt w:val="bullet"/>
      <w:lvlText w:val="•"/>
      <w:lvlJc w:val="left"/>
      <w:pPr>
        <w:ind w:left="6552" w:hanging="361"/>
      </w:pPr>
      <w:rPr>
        <w:rFonts w:hint="default"/>
        <w:lang w:val="en-US" w:eastAsia="en-US" w:bidi="en-US"/>
      </w:rPr>
    </w:lvl>
    <w:lvl w:ilvl="8" w:tplc="FE8CC39A">
      <w:numFmt w:val="bullet"/>
      <w:lvlText w:val="•"/>
      <w:lvlJc w:val="left"/>
      <w:pPr>
        <w:ind w:left="755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FE"/>
    <w:rsid w:val="000155AD"/>
    <w:rsid w:val="00884BAC"/>
    <w:rsid w:val="00927220"/>
    <w:rsid w:val="00D65DFE"/>
    <w:rsid w:val="00D9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4731FE-4657-460B-8F60-AF347138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80B4-DCD6-4464-B4BF-BC60E106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Mims, Ryan E</dc:creator>
  <cp:lastModifiedBy>Huber, Jennifer</cp:lastModifiedBy>
  <cp:revision>2</cp:revision>
  <dcterms:created xsi:type="dcterms:W3CDTF">2019-07-09T21:36:00Z</dcterms:created>
  <dcterms:modified xsi:type="dcterms:W3CDTF">2019-07-09T21:36:00Z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Acrobat PDFMaker 17 for Word</vt:lpwstr>
  </property>
  <property fmtid="{D5CDD505-2E9C-101B-9397-08002B2CF9AE}" pid="4" name="LastSaved">
    <vt:filetime>2019-07-09T00:00:00Z</vt:filetime>
  </property>
</Properties>
</file>