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tblCellMar>
          <w:left w:w="0" w:type="dxa"/>
          <w:right w:w="0" w:type="dxa"/>
        </w:tblCellMar>
        <w:tblLook w:val="04A0" w:firstRow="1" w:lastRow="0" w:firstColumn="1" w:lastColumn="0" w:noHBand="0" w:noVBand="1"/>
      </w:tblPr>
      <w:tblGrid>
        <w:gridCol w:w="4444"/>
        <w:gridCol w:w="4916"/>
      </w:tblGrid>
      <w:tr w:rsidR="00FD15B6" w14:paraId="12DCD517" w14:textId="77777777" w:rsidTr="00FD15B6">
        <w:tc>
          <w:tcPr>
            <w:tcW w:w="4444" w:type="dxa"/>
            <w:tcBorders>
              <w:top w:val="nil"/>
              <w:left w:val="nil"/>
              <w:bottom w:val="nil"/>
              <w:right w:val="nil"/>
            </w:tcBorders>
          </w:tcPr>
          <w:p w14:paraId="6446B96B" w14:textId="77777777" w:rsidR="00FD15B6" w:rsidRDefault="00FD15B6" w:rsidP="004939E4">
            <w:r>
              <w:rPr>
                <w:noProof/>
              </w:rPr>
              <w:drawing>
                <wp:anchor distT="0" distB="0" distL="114300" distR="114300" simplePos="0" relativeHeight="251659264" behindDoc="0" locked="0" layoutInCell="1" allowOverlap="1" wp14:anchorId="3CE780B0" wp14:editId="22E49AE4">
                  <wp:simplePos x="0" y="0"/>
                  <wp:positionH relativeFrom="margin">
                    <wp:posOffset>0</wp:posOffset>
                  </wp:positionH>
                  <wp:positionV relativeFrom="paragraph">
                    <wp:posOffset>0</wp:posOffset>
                  </wp:positionV>
                  <wp:extent cx="2105025" cy="232156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udoun Is Readyfull color-100.jpg"/>
                          <pic:cNvPicPr/>
                        </pic:nvPicPr>
                        <pic:blipFill>
                          <a:blip r:embed="rId5">
                            <a:extLst>
                              <a:ext uri="{28A0092B-C50C-407E-A947-70E740481C1C}">
                                <a14:useLocalDpi xmlns:a14="http://schemas.microsoft.com/office/drawing/2010/main" val="0"/>
                              </a:ext>
                            </a:extLst>
                          </a:blip>
                          <a:stretch>
                            <a:fillRect/>
                          </a:stretch>
                        </pic:blipFill>
                        <pic:spPr>
                          <a:xfrm>
                            <a:off x="0" y="0"/>
                            <a:ext cx="2105025" cy="2321560"/>
                          </a:xfrm>
                          <a:prstGeom prst="rect">
                            <a:avLst/>
                          </a:prstGeom>
                        </pic:spPr>
                      </pic:pic>
                    </a:graphicData>
                  </a:graphic>
                  <wp14:sizeRelH relativeFrom="margin">
                    <wp14:pctWidth>0</wp14:pctWidth>
                  </wp14:sizeRelH>
                  <wp14:sizeRelV relativeFrom="margin">
                    <wp14:pctHeight>0</wp14:pctHeight>
                  </wp14:sizeRelV>
                </wp:anchor>
              </w:drawing>
            </w:r>
          </w:p>
        </w:tc>
        <w:tc>
          <w:tcPr>
            <w:tcW w:w="4916" w:type="dxa"/>
            <w:tcBorders>
              <w:top w:val="nil"/>
              <w:left w:val="nil"/>
              <w:bottom w:val="nil"/>
              <w:right w:val="nil"/>
            </w:tcBorders>
            <w:vAlign w:val="center"/>
          </w:tcPr>
          <w:p w14:paraId="08443A7B" w14:textId="77777777" w:rsidR="00FD15B6" w:rsidRDefault="00FD15B6" w:rsidP="004939E4">
            <w:pPr>
              <w:jc w:val="center"/>
            </w:pPr>
            <w:r>
              <w:rPr>
                <w:noProof/>
              </w:rPr>
              <w:drawing>
                <wp:inline distT="0" distB="0" distL="0" distR="0" wp14:anchorId="0585C015" wp14:editId="77269521">
                  <wp:extent cx="3121660" cy="80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udoun Is Readybar.png"/>
                          <pic:cNvPicPr/>
                        </pic:nvPicPr>
                        <pic:blipFill>
                          <a:blip r:embed="rId6">
                            <a:extLst>
                              <a:ext uri="{28A0092B-C50C-407E-A947-70E740481C1C}">
                                <a14:useLocalDpi xmlns:a14="http://schemas.microsoft.com/office/drawing/2010/main" val="0"/>
                              </a:ext>
                            </a:extLst>
                          </a:blip>
                          <a:stretch>
                            <a:fillRect/>
                          </a:stretch>
                        </pic:blipFill>
                        <pic:spPr>
                          <a:xfrm>
                            <a:off x="0" y="0"/>
                            <a:ext cx="3121660" cy="808800"/>
                          </a:xfrm>
                          <a:prstGeom prst="rect">
                            <a:avLst/>
                          </a:prstGeom>
                        </pic:spPr>
                      </pic:pic>
                    </a:graphicData>
                  </a:graphic>
                </wp:inline>
              </w:drawing>
            </w:r>
          </w:p>
          <w:p w14:paraId="3C8436C8" w14:textId="77777777" w:rsidR="00FD15B6" w:rsidRDefault="00FD15B6" w:rsidP="004939E4">
            <w:pPr>
              <w:jc w:val="center"/>
              <w:rPr>
                <w:color w:val="C00000"/>
                <w:sz w:val="32"/>
                <w:szCs w:val="32"/>
              </w:rPr>
            </w:pPr>
          </w:p>
          <w:p w14:paraId="532CE078" w14:textId="54D93E5D" w:rsidR="00BD666E" w:rsidRDefault="00FD15B6" w:rsidP="00BD666E">
            <w:pPr>
              <w:jc w:val="center"/>
              <w:rPr>
                <w:b/>
                <w:color w:val="C00000"/>
                <w:sz w:val="32"/>
                <w:szCs w:val="32"/>
              </w:rPr>
            </w:pPr>
            <w:r w:rsidRPr="00321311">
              <w:rPr>
                <w:color w:val="C00000"/>
                <w:sz w:val="32"/>
                <w:szCs w:val="32"/>
              </w:rPr>
              <w:t xml:space="preserve">Safer at Home Phase </w:t>
            </w:r>
            <w:r w:rsidR="00191126">
              <w:rPr>
                <w:color w:val="C00000"/>
                <w:sz w:val="32"/>
                <w:szCs w:val="32"/>
              </w:rPr>
              <w:t>T</w:t>
            </w:r>
            <w:r w:rsidR="00C65223">
              <w:rPr>
                <w:color w:val="C00000"/>
                <w:sz w:val="32"/>
                <w:szCs w:val="32"/>
              </w:rPr>
              <w:t>hree</w:t>
            </w:r>
            <w:r w:rsidR="00321311">
              <w:rPr>
                <w:color w:val="C00000"/>
                <w:sz w:val="32"/>
                <w:szCs w:val="32"/>
              </w:rPr>
              <w:br/>
            </w:r>
            <w:r w:rsidR="00DF5434">
              <w:rPr>
                <w:b/>
                <w:color w:val="C00000"/>
                <w:sz w:val="32"/>
                <w:szCs w:val="32"/>
              </w:rPr>
              <w:t>Brick and Mortar Retail</w:t>
            </w:r>
            <w:r w:rsidR="00321311">
              <w:rPr>
                <w:b/>
                <w:color w:val="C00000"/>
                <w:sz w:val="32"/>
                <w:szCs w:val="32"/>
              </w:rPr>
              <w:t xml:space="preserve"> Guideline</w:t>
            </w:r>
            <w:r w:rsidR="00B4794D">
              <w:rPr>
                <w:b/>
                <w:color w:val="C00000"/>
                <w:sz w:val="32"/>
                <w:szCs w:val="32"/>
              </w:rPr>
              <w:t>s</w:t>
            </w:r>
          </w:p>
          <w:p w14:paraId="2ABC3F80" w14:textId="148BD311" w:rsidR="00BD666E" w:rsidRPr="00321311" w:rsidRDefault="00BD666E" w:rsidP="00321311">
            <w:pPr>
              <w:jc w:val="center"/>
              <w:rPr>
                <w:b/>
                <w:color w:val="C00000"/>
                <w:sz w:val="32"/>
                <w:szCs w:val="32"/>
              </w:rPr>
            </w:pPr>
          </w:p>
        </w:tc>
      </w:tr>
    </w:tbl>
    <w:tbl>
      <w:tblPr>
        <w:tblStyle w:val="TableGrid"/>
        <w:tblW w:w="0" w:type="auto"/>
        <w:tblLook w:val="04A0" w:firstRow="1" w:lastRow="0" w:firstColumn="1" w:lastColumn="0" w:noHBand="0" w:noVBand="1"/>
      </w:tblPr>
      <w:tblGrid>
        <w:gridCol w:w="9350"/>
      </w:tblGrid>
      <w:tr w:rsidR="00FD15B6" w14:paraId="29E6B262" w14:textId="77777777" w:rsidTr="00FD15B6">
        <w:tc>
          <w:tcPr>
            <w:tcW w:w="9350" w:type="dxa"/>
            <w:shd w:val="clear" w:color="auto" w:fill="C00000"/>
          </w:tcPr>
          <w:p w14:paraId="1343C4EF" w14:textId="7EABE8E9" w:rsidR="00FD15B6" w:rsidRPr="00FD15B6" w:rsidRDefault="00FD15B6" w:rsidP="00FD15B6">
            <w:pPr>
              <w:jc w:val="center"/>
              <w:rPr>
                <w:b/>
              </w:rPr>
            </w:pPr>
            <w:r w:rsidRPr="00FD15B6">
              <w:rPr>
                <w:b/>
              </w:rPr>
              <w:t>Use of Face Coverings</w:t>
            </w:r>
          </w:p>
        </w:tc>
      </w:tr>
      <w:tr w:rsidR="00FD15B6" w14:paraId="0CC46CF9" w14:textId="77777777" w:rsidTr="00FD15B6">
        <w:tc>
          <w:tcPr>
            <w:tcW w:w="9350" w:type="dxa"/>
          </w:tcPr>
          <w:p w14:paraId="31D4B1F1" w14:textId="695C5E2F" w:rsidR="008B7F2B" w:rsidRPr="00C15A07" w:rsidRDefault="008B7F2B" w:rsidP="008B7F2B">
            <w:pPr>
              <w:rPr>
                <w:rFonts w:ascii="Calibri" w:eastAsia="Times New Roman" w:hAnsi="Calibri" w:cs="Calibri"/>
                <w:color w:val="333333"/>
              </w:rPr>
            </w:pPr>
            <w:r w:rsidRPr="00BD7019">
              <w:rPr>
                <w:rFonts w:ascii="Calibri" w:eastAsia="Times New Roman" w:hAnsi="Calibri" w:cs="Calibri"/>
                <w:color w:val="333333"/>
              </w:rPr>
              <w:br/>
              <w:t>All patrons in the Commonwealth aged ten and over shall when entering, exiting, traveling through, and spending time inside the settings listed below cover their mouth and nose with a face covering, as described and recommended by the CDC</w:t>
            </w:r>
            <w:r w:rsidR="00191126">
              <w:rPr>
                <w:rFonts w:ascii="Calibri" w:eastAsia="Times New Roman" w:hAnsi="Calibri" w:cs="Calibri"/>
                <w:color w:val="333333"/>
              </w:rPr>
              <w:t>.</w:t>
            </w:r>
          </w:p>
          <w:p w14:paraId="25D0A50C" w14:textId="3A1847FF" w:rsidR="00C15A07" w:rsidRPr="00C15A07" w:rsidRDefault="00C15A07" w:rsidP="00C15A07">
            <w:pPr>
              <w:rPr>
                <w:rFonts w:ascii="Calibri" w:eastAsia="Times New Roman" w:hAnsi="Calibri" w:cs="Calibri"/>
                <w:bCs/>
                <w:color w:val="333333"/>
              </w:rPr>
            </w:pPr>
            <w:r w:rsidRPr="00C15A07">
              <w:rPr>
                <w:rFonts w:ascii="Calibri" w:eastAsia="Times New Roman" w:hAnsi="Calibri" w:cs="Calibri"/>
                <w:bCs/>
                <w:color w:val="333333"/>
              </w:rPr>
              <w:t>…</w:t>
            </w:r>
          </w:p>
          <w:p w14:paraId="08BA392C" w14:textId="0B44035A" w:rsidR="00191126" w:rsidRPr="00191126" w:rsidRDefault="00C65223" w:rsidP="00191126">
            <w:pPr>
              <w:rPr>
                <w:rFonts w:ascii="Calibri" w:eastAsia="Times New Roman" w:hAnsi="Calibri" w:cs="Calibri"/>
                <w:bCs/>
                <w:color w:val="333333"/>
              </w:rPr>
            </w:pPr>
            <w:hyperlink r:id="rId7" w:history="1">
              <w:r w:rsidR="00191126" w:rsidRPr="0001589F">
                <w:rPr>
                  <w:rStyle w:val="Hyperlink"/>
                </w:rPr>
                <w:t>Executive Order #65</w:t>
              </w:r>
            </w:hyperlink>
            <w:r w:rsidR="00191126">
              <w:t xml:space="preserve"> </w:t>
            </w:r>
            <w:r w:rsidR="00191126" w:rsidRPr="0001589F">
              <w:t xml:space="preserve">as it pertains to </w:t>
            </w:r>
            <w:r w:rsidR="00191126" w:rsidRPr="00C15A07">
              <w:rPr>
                <w:rFonts w:ascii="Calibri" w:eastAsia="Times New Roman" w:hAnsi="Calibri" w:cs="Calibri"/>
                <w:bCs/>
                <w:color w:val="333333"/>
              </w:rPr>
              <w:t>All non-essential brick and mortar retail businesses.</w:t>
            </w:r>
            <w:r w:rsidR="00191126">
              <w:rPr>
                <w:rFonts w:ascii="Calibri" w:eastAsia="Times New Roman" w:hAnsi="Calibri" w:cs="Calibri"/>
                <w:bCs/>
                <w:color w:val="333333"/>
              </w:rPr>
              <w:t xml:space="preserve"> </w:t>
            </w:r>
            <w:r w:rsidR="00191126">
              <w:t>Northern Virginia moves into Phase T</w:t>
            </w:r>
            <w:r>
              <w:t>hree</w:t>
            </w:r>
            <w:r w:rsidR="00191126">
              <w:t xml:space="preserve"> on </w:t>
            </w:r>
            <w:r>
              <w:t>Wednesday, July 1</w:t>
            </w:r>
            <w:r w:rsidR="00191126">
              <w:t>, 2020.</w:t>
            </w:r>
            <w:r w:rsidR="00191126" w:rsidRPr="00BD7019">
              <w:t xml:space="preserve">  </w:t>
            </w:r>
          </w:p>
          <w:p w14:paraId="6B300B53" w14:textId="77777777" w:rsidR="00191126" w:rsidRDefault="00191126" w:rsidP="00191126"/>
          <w:p w14:paraId="2D2F4DCA" w14:textId="63803705" w:rsidR="00191126" w:rsidRPr="00D81081" w:rsidRDefault="00191126" w:rsidP="00191126">
            <w:pPr>
              <w:rPr>
                <w:rFonts w:ascii="Calibri" w:hAnsi="Calibri" w:cs="Calibri"/>
              </w:rPr>
            </w:pPr>
            <w:r w:rsidRPr="00D81081">
              <w:rPr>
                <w:rFonts w:ascii="Calibri" w:hAnsi="Calibri" w:cs="Calibri"/>
              </w:rPr>
              <w:t xml:space="preserve">Businesses must strictly adhere to the physical distancing guidelines, enhanced cleaning and disinfection practices, and enhanced workplace safety practices provided in the “Guidelines for All Business Sectors” document. Virginia Department of Health and Virginia Department of Agriculture and Consumer Services regulated facilities must continue to follow requirements related to prohibiting sick employees in the workplace, strict handwashing practices, and procedures and practices to clean and sanitize surfaces. </w:t>
            </w:r>
          </w:p>
          <w:p w14:paraId="12561DDD" w14:textId="62590331" w:rsidR="00FD15B6" w:rsidRPr="00BD7019" w:rsidRDefault="00FD15B6" w:rsidP="00191126"/>
        </w:tc>
      </w:tr>
      <w:tr w:rsidR="00FD15B6" w14:paraId="06554A6A" w14:textId="77777777" w:rsidTr="00FD15B6">
        <w:tc>
          <w:tcPr>
            <w:tcW w:w="9350" w:type="dxa"/>
            <w:shd w:val="clear" w:color="auto" w:fill="C00000"/>
          </w:tcPr>
          <w:p w14:paraId="66953D15" w14:textId="20DC3E98" w:rsidR="00FD15B6" w:rsidRPr="00BD7019" w:rsidRDefault="00FD15B6" w:rsidP="00FD15B6">
            <w:pPr>
              <w:jc w:val="center"/>
              <w:rPr>
                <w:b/>
              </w:rPr>
            </w:pPr>
            <w:r w:rsidRPr="00BD7019">
              <w:rPr>
                <w:b/>
              </w:rPr>
              <w:t>Mandatory Requirements</w:t>
            </w:r>
          </w:p>
        </w:tc>
      </w:tr>
      <w:tr w:rsidR="00FD15B6" w14:paraId="59B34B90" w14:textId="77777777" w:rsidTr="00FD15B6">
        <w:tc>
          <w:tcPr>
            <w:tcW w:w="9350" w:type="dxa"/>
          </w:tcPr>
          <w:p w14:paraId="0765B292" w14:textId="77777777" w:rsidR="00191126" w:rsidRDefault="00191126" w:rsidP="00191126">
            <w:pPr>
              <w:rPr>
                <w:rFonts w:eastAsia="Times New Roman" w:cstheme="minorHAnsi"/>
                <w:color w:val="191E26"/>
              </w:rPr>
            </w:pPr>
          </w:p>
          <w:p w14:paraId="64B7610F" w14:textId="6A137468" w:rsidR="00191126" w:rsidRPr="00846232" w:rsidRDefault="00191126" w:rsidP="00191126">
            <w:pPr>
              <w:rPr>
                <w:rFonts w:eastAsia="Times New Roman" w:cstheme="minorHAnsi"/>
                <w:color w:val="191E26"/>
              </w:rPr>
            </w:pPr>
            <w:r w:rsidRPr="00846232">
              <w:rPr>
                <w:rFonts w:eastAsia="Times New Roman" w:cstheme="minorHAnsi"/>
                <w:color w:val="191E26"/>
              </w:rPr>
              <w:t>They must also adhere to the following additional requirements: </w:t>
            </w:r>
          </w:p>
          <w:p w14:paraId="52F1144A" w14:textId="77777777" w:rsidR="000120D5" w:rsidRPr="00BD7019" w:rsidRDefault="000120D5" w:rsidP="000120D5"/>
          <w:p w14:paraId="558708BD" w14:textId="77777777" w:rsidR="00846232" w:rsidRPr="00846232" w:rsidRDefault="00846232" w:rsidP="00846232">
            <w:pPr>
              <w:numPr>
                <w:ilvl w:val="0"/>
                <w:numId w:val="9"/>
              </w:numPr>
              <w:rPr>
                <w:rFonts w:eastAsia="Times New Roman" w:cstheme="minorHAnsi"/>
                <w:color w:val="191E26"/>
              </w:rPr>
            </w:pPr>
            <w:r w:rsidRPr="00846232">
              <w:rPr>
                <w:rFonts w:eastAsia="Times New Roman" w:cstheme="minorHAnsi"/>
                <w:color w:val="191E26"/>
              </w:rPr>
              <w:t>Post signage at the entrance that states that no one with a fever or symptoms of COVID-</w:t>
            </w:r>
            <w:proofErr w:type="gramStart"/>
            <w:r w:rsidRPr="00846232">
              <w:rPr>
                <w:rFonts w:eastAsia="Times New Roman" w:cstheme="minorHAnsi"/>
                <w:color w:val="191E26"/>
              </w:rPr>
              <w:t>19, or</w:t>
            </w:r>
            <w:proofErr w:type="gramEnd"/>
            <w:r w:rsidRPr="00846232">
              <w:rPr>
                <w:rFonts w:eastAsia="Times New Roman" w:cstheme="minorHAnsi"/>
                <w:color w:val="191E26"/>
              </w:rPr>
              <w:t xml:space="preserve"> known exposure to a COVID-19 case in the prior 14 days, is permitted in the establishment.</w:t>
            </w:r>
          </w:p>
          <w:p w14:paraId="12101909" w14:textId="77777777" w:rsidR="00C65223" w:rsidRDefault="00846232" w:rsidP="00C65223">
            <w:pPr>
              <w:numPr>
                <w:ilvl w:val="0"/>
                <w:numId w:val="9"/>
              </w:numPr>
              <w:rPr>
                <w:rFonts w:eastAsia="Times New Roman" w:cstheme="minorHAnsi"/>
                <w:color w:val="191E26"/>
              </w:rPr>
            </w:pPr>
            <w:r w:rsidRPr="00846232">
              <w:rPr>
                <w:rFonts w:eastAsia="Times New Roman" w:cstheme="minorHAnsi"/>
                <w:color w:val="191E26"/>
              </w:rPr>
              <w:t xml:space="preserve">Post signage to provide public health reminders regarding physical distancing, gatherings, options for </w:t>
            </w:r>
            <w:hyperlink r:id="rId8" w:history="1">
              <w:r w:rsidRPr="00846232">
                <w:rPr>
                  <w:rStyle w:val="Hyperlink"/>
                  <w:rFonts w:eastAsia="Times New Roman" w:cstheme="minorHAnsi"/>
                </w:rPr>
                <w:t>high risk individuals</w:t>
              </w:r>
            </w:hyperlink>
            <w:r w:rsidRPr="00846232">
              <w:rPr>
                <w:rFonts w:eastAsia="Times New Roman" w:cstheme="minorHAnsi"/>
                <w:color w:val="191E26"/>
              </w:rPr>
              <w:t>, and staying home if sick (samples at bottom of this document).</w:t>
            </w:r>
          </w:p>
          <w:p w14:paraId="1DA561F8" w14:textId="790A0FE1" w:rsidR="00C65223" w:rsidRPr="00C65223" w:rsidRDefault="00C65223" w:rsidP="00C65223">
            <w:pPr>
              <w:numPr>
                <w:ilvl w:val="0"/>
                <w:numId w:val="9"/>
              </w:numPr>
              <w:rPr>
                <w:rFonts w:eastAsia="Times New Roman" w:cstheme="minorHAnsi"/>
                <w:color w:val="191E26"/>
              </w:rPr>
            </w:pPr>
            <w:r w:rsidRPr="00C65223">
              <w:rPr>
                <w:rFonts w:ascii="Calibri" w:hAnsi="Calibri" w:cs="Calibri"/>
                <w:color w:val="000000"/>
              </w:rPr>
              <w:t xml:space="preserve">Employees and patrons must maintain at least six feet of physical distancing between individuals who </w:t>
            </w:r>
            <w:proofErr w:type="gramStart"/>
            <w:r w:rsidRPr="00C65223">
              <w:rPr>
                <w:rFonts w:ascii="Calibri" w:hAnsi="Calibri" w:cs="Calibri"/>
                <w:color w:val="000000"/>
              </w:rPr>
              <w:t>are not members of the same household at all times</w:t>
            </w:r>
            <w:proofErr w:type="gramEnd"/>
            <w:r w:rsidRPr="00C65223">
              <w:rPr>
                <w:rFonts w:ascii="Calibri" w:hAnsi="Calibri" w:cs="Calibri"/>
                <w:color w:val="000000"/>
              </w:rPr>
              <w:t xml:space="preserve">. </w:t>
            </w:r>
          </w:p>
          <w:p w14:paraId="4F39630C" w14:textId="77777777" w:rsidR="00846232" w:rsidRPr="00846232" w:rsidRDefault="00846232" w:rsidP="00846232">
            <w:pPr>
              <w:numPr>
                <w:ilvl w:val="0"/>
                <w:numId w:val="9"/>
              </w:numPr>
              <w:rPr>
                <w:rFonts w:eastAsia="Times New Roman" w:cstheme="minorHAnsi"/>
                <w:color w:val="191E26"/>
              </w:rPr>
            </w:pPr>
            <w:r w:rsidRPr="00846232">
              <w:rPr>
                <w:rFonts w:eastAsia="Times New Roman" w:cstheme="minorHAnsi"/>
                <w:color w:val="191E26"/>
              </w:rPr>
              <w:t>Retailers must assist customers in keeping at least six feet of space between individuals or households while shopping and waiting in line. Mark floors in six-foot increments in areas where customers will be congregating or standing in line such as cashier areas. If six feet of space cannot be maintained between checkout lines, only operate alternate checkout lines.</w:t>
            </w:r>
          </w:p>
          <w:p w14:paraId="679992B5" w14:textId="77777777" w:rsidR="00846232" w:rsidRPr="00846232" w:rsidRDefault="00846232" w:rsidP="00846232">
            <w:pPr>
              <w:numPr>
                <w:ilvl w:val="0"/>
                <w:numId w:val="9"/>
              </w:numPr>
              <w:rPr>
                <w:rFonts w:eastAsia="Times New Roman" w:cstheme="minorHAnsi"/>
                <w:color w:val="191E26"/>
              </w:rPr>
            </w:pPr>
            <w:r w:rsidRPr="00846232">
              <w:rPr>
                <w:rFonts w:eastAsia="Times New Roman" w:cstheme="minorHAnsi"/>
                <w:color w:val="191E26"/>
              </w:rPr>
              <w:t>If seating is available, provide a minimum of six feet between tables; if tables are not movable, parties must be spaced at least six feet apart.</w:t>
            </w:r>
          </w:p>
          <w:p w14:paraId="100AB83A" w14:textId="77777777" w:rsidR="00846232" w:rsidRPr="00846232" w:rsidRDefault="00846232" w:rsidP="00846232">
            <w:pPr>
              <w:numPr>
                <w:ilvl w:val="0"/>
                <w:numId w:val="9"/>
              </w:numPr>
              <w:rPr>
                <w:rFonts w:eastAsia="Times New Roman" w:cstheme="minorHAnsi"/>
                <w:color w:val="191E26"/>
              </w:rPr>
            </w:pPr>
            <w:r w:rsidRPr="00846232">
              <w:rPr>
                <w:rFonts w:eastAsia="Times New Roman" w:cstheme="minorHAnsi"/>
                <w:color w:val="191E26"/>
              </w:rPr>
              <w:lastRenderedPageBreak/>
              <w:t xml:space="preserve">Employees working in customer-facing areas are required to wear face coverings over their nose and mouth, such as using </w:t>
            </w:r>
            <w:hyperlink r:id="rId9" w:history="1">
              <w:r w:rsidRPr="00846232">
                <w:rPr>
                  <w:rStyle w:val="Hyperlink"/>
                  <w:rFonts w:eastAsia="Times New Roman" w:cstheme="minorHAnsi"/>
                </w:rPr>
                <w:t>CDC Use of Cloth Face Coverings guidance</w:t>
              </w:r>
            </w:hyperlink>
            <w:r w:rsidRPr="00846232">
              <w:rPr>
                <w:rFonts w:eastAsia="Times New Roman" w:cstheme="minorHAnsi"/>
                <w:color w:val="191E26"/>
              </w:rPr>
              <w:t>.</w:t>
            </w:r>
          </w:p>
          <w:p w14:paraId="6AE762AC" w14:textId="4C7F944F" w:rsidR="00846232" w:rsidRPr="00C65223" w:rsidRDefault="00846232" w:rsidP="00C65223">
            <w:pPr>
              <w:numPr>
                <w:ilvl w:val="0"/>
                <w:numId w:val="9"/>
              </w:numPr>
              <w:rPr>
                <w:rFonts w:eastAsia="Times New Roman" w:cstheme="minorHAnsi"/>
                <w:color w:val="191E26"/>
              </w:rPr>
            </w:pPr>
            <w:r w:rsidRPr="00846232">
              <w:rPr>
                <w:rFonts w:eastAsia="Times New Roman" w:cstheme="minorHAnsi"/>
                <w:color w:val="191E26"/>
              </w:rPr>
              <w:t>Perform a thorough cleaning and disinfection of frequently contacted surfaces including digital ordering devices, self-service areas, countertops, bathroom surfaces, cashier stations, belts, shelves, cash machine pads, keyboards, order separation bars, and other high touch surfaces, at a minimum, every 2 hours. </w:t>
            </w:r>
          </w:p>
          <w:p w14:paraId="49C15A51" w14:textId="77777777" w:rsidR="00846232" w:rsidRPr="00846232" w:rsidRDefault="00846232" w:rsidP="00846232">
            <w:pPr>
              <w:numPr>
                <w:ilvl w:val="0"/>
                <w:numId w:val="9"/>
              </w:numPr>
              <w:rPr>
                <w:rFonts w:eastAsia="Times New Roman" w:cstheme="minorHAnsi"/>
                <w:color w:val="191E26"/>
              </w:rPr>
            </w:pPr>
            <w:r w:rsidRPr="00846232">
              <w:rPr>
                <w:rFonts w:eastAsia="Times New Roman" w:cstheme="minorHAnsi"/>
                <w:color w:val="191E26"/>
              </w:rPr>
              <w:t xml:space="preserve">Ensure there is a way to sanitize shopping cart and basket handles: either make an </w:t>
            </w:r>
            <w:hyperlink r:id="rId10" w:history="1">
              <w:r w:rsidRPr="00846232">
                <w:rPr>
                  <w:rStyle w:val="Hyperlink"/>
                  <w:rFonts w:eastAsia="Times New Roman" w:cstheme="minorHAnsi"/>
                </w:rPr>
                <w:t>EPA-approved disinfectant</w:t>
              </w:r>
            </w:hyperlink>
            <w:r w:rsidRPr="00846232">
              <w:rPr>
                <w:rFonts w:eastAsia="Times New Roman" w:cstheme="minorHAnsi"/>
                <w:color w:val="191E26"/>
              </w:rPr>
              <w:t xml:space="preserve"> easily accessible to customers or have employees manage the process and sanitize between each customer use.</w:t>
            </w:r>
          </w:p>
          <w:p w14:paraId="11147AAF" w14:textId="4C58D354" w:rsidR="00846232" w:rsidRPr="00BD7019" w:rsidRDefault="00846232" w:rsidP="00846232">
            <w:pPr>
              <w:rPr>
                <w:rFonts w:eastAsia="Times New Roman" w:cstheme="minorHAnsi"/>
                <w:color w:val="191E26"/>
              </w:rPr>
            </w:pPr>
          </w:p>
        </w:tc>
      </w:tr>
      <w:tr w:rsidR="00FD15B6" w14:paraId="54BFBAD2" w14:textId="77777777" w:rsidTr="00FD15B6">
        <w:tc>
          <w:tcPr>
            <w:tcW w:w="9350" w:type="dxa"/>
            <w:shd w:val="clear" w:color="auto" w:fill="C00000"/>
          </w:tcPr>
          <w:p w14:paraId="4E66B1CC" w14:textId="1AC006D4" w:rsidR="00FD15B6" w:rsidRPr="00FD15B6" w:rsidRDefault="00FD15B6" w:rsidP="00FD15B6">
            <w:pPr>
              <w:jc w:val="center"/>
              <w:rPr>
                <w:b/>
              </w:rPr>
            </w:pPr>
            <w:r w:rsidRPr="00FD15B6">
              <w:rPr>
                <w:b/>
              </w:rPr>
              <w:lastRenderedPageBreak/>
              <w:t>Best Practices</w:t>
            </w:r>
          </w:p>
        </w:tc>
      </w:tr>
      <w:tr w:rsidR="00FD15B6" w14:paraId="6D1581EE" w14:textId="77777777" w:rsidTr="00FD15B6">
        <w:tc>
          <w:tcPr>
            <w:tcW w:w="9350" w:type="dxa"/>
          </w:tcPr>
          <w:p w14:paraId="1CC3694D" w14:textId="55697EBA" w:rsidR="00EF2663" w:rsidRDefault="000120D5" w:rsidP="001858E4">
            <w:pPr>
              <w:pStyle w:val="NormalWeb"/>
              <w:rPr>
                <w:rFonts w:asciiTheme="minorHAnsi" w:eastAsia="Times New Roman" w:hAnsiTheme="minorHAnsi" w:cstheme="minorHAnsi"/>
                <w:color w:val="191E26"/>
                <w:sz w:val="22"/>
                <w:szCs w:val="22"/>
              </w:rPr>
            </w:pPr>
            <w:r>
              <w:rPr>
                <w:rFonts w:eastAsia="Times New Roman" w:cstheme="minorHAnsi"/>
                <w:color w:val="191E26"/>
              </w:rPr>
              <w:br/>
            </w:r>
            <w:r w:rsidR="00EF2663" w:rsidRPr="00EF2663">
              <w:rPr>
                <w:rFonts w:asciiTheme="minorHAnsi" w:eastAsia="Times New Roman" w:hAnsiTheme="minorHAnsi" w:cstheme="minorHAnsi"/>
                <w:color w:val="191E26"/>
                <w:sz w:val="22"/>
                <w:szCs w:val="22"/>
              </w:rPr>
              <w:t>In addition to the requirements provided above, establishments are encouraged to utilize the following best practices to the extent they are feasible:</w:t>
            </w:r>
          </w:p>
          <w:p w14:paraId="4B2F9237" w14:textId="77777777" w:rsidR="00C65223" w:rsidRPr="00EF2663" w:rsidRDefault="00C65223" w:rsidP="001858E4">
            <w:pPr>
              <w:pStyle w:val="NormalWeb"/>
              <w:rPr>
                <w:rFonts w:asciiTheme="minorHAnsi" w:eastAsia="Times New Roman" w:hAnsiTheme="minorHAnsi" w:cstheme="minorHAnsi"/>
                <w:color w:val="191E26"/>
                <w:sz w:val="22"/>
                <w:szCs w:val="22"/>
              </w:rPr>
            </w:pPr>
          </w:p>
          <w:p w14:paraId="0FAB6C0B" w14:textId="77777777" w:rsidR="00EF2663" w:rsidRPr="00EF2663" w:rsidRDefault="00EF2663" w:rsidP="001858E4">
            <w:pPr>
              <w:numPr>
                <w:ilvl w:val="0"/>
                <w:numId w:val="10"/>
              </w:numPr>
              <w:rPr>
                <w:rFonts w:eastAsia="Times New Roman" w:cstheme="minorHAnsi"/>
                <w:color w:val="191E26"/>
              </w:rPr>
            </w:pPr>
            <w:r w:rsidRPr="00EF2663">
              <w:rPr>
                <w:rFonts w:eastAsia="Times New Roman" w:cstheme="minorHAnsi"/>
                <w:color w:val="191E26"/>
              </w:rPr>
              <w:t>Provide sanitizing stations for customers and staff throughout the store, particularly at entry and exit points.</w:t>
            </w:r>
          </w:p>
          <w:p w14:paraId="3E5C96E5" w14:textId="77777777" w:rsidR="00EF2663" w:rsidRPr="00EF2663" w:rsidRDefault="00EF2663" w:rsidP="00EF2663">
            <w:pPr>
              <w:numPr>
                <w:ilvl w:val="0"/>
                <w:numId w:val="10"/>
              </w:numPr>
              <w:spacing w:before="100" w:beforeAutospacing="1" w:after="100" w:afterAutospacing="1"/>
              <w:rPr>
                <w:rFonts w:eastAsia="Times New Roman" w:cstheme="minorHAnsi"/>
                <w:color w:val="191E26"/>
              </w:rPr>
            </w:pPr>
            <w:r w:rsidRPr="00EF2663">
              <w:rPr>
                <w:rFonts w:eastAsia="Times New Roman" w:cstheme="minorHAnsi"/>
                <w:color w:val="191E26"/>
              </w:rPr>
              <w:t>Consider managing customer movement utilizing one-way aisles or other directional instructions.</w:t>
            </w:r>
          </w:p>
          <w:p w14:paraId="386119CD" w14:textId="77777777" w:rsidR="00EF2663" w:rsidRPr="00EF2663" w:rsidRDefault="00EF2663" w:rsidP="00EF2663">
            <w:pPr>
              <w:numPr>
                <w:ilvl w:val="0"/>
                <w:numId w:val="10"/>
              </w:numPr>
              <w:spacing w:before="100" w:beforeAutospacing="1" w:after="100" w:afterAutospacing="1"/>
              <w:rPr>
                <w:rFonts w:eastAsia="Times New Roman" w:cstheme="minorHAnsi"/>
                <w:color w:val="191E26"/>
              </w:rPr>
            </w:pPr>
            <w:r w:rsidRPr="00EF2663">
              <w:rPr>
                <w:rFonts w:eastAsia="Times New Roman" w:cstheme="minorHAnsi"/>
                <w:color w:val="191E26"/>
              </w:rPr>
              <w:t xml:space="preserve">Consider reserving certain hours for </w:t>
            </w:r>
            <w:hyperlink r:id="rId11" w:history="1">
              <w:r w:rsidRPr="00EF2663">
                <w:rPr>
                  <w:rFonts w:eastAsia="Times New Roman" w:cstheme="minorHAnsi"/>
                  <w:color w:val="0C5982"/>
                  <w:u w:val="single"/>
                </w:rPr>
                <w:t>senior citizens and other high-risk populations.</w:t>
              </w:r>
            </w:hyperlink>
          </w:p>
          <w:p w14:paraId="0027A2D2" w14:textId="77777777" w:rsidR="00EF2663" w:rsidRPr="00EF2663" w:rsidRDefault="00EF2663" w:rsidP="00EF2663">
            <w:pPr>
              <w:numPr>
                <w:ilvl w:val="0"/>
                <w:numId w:val="10"/>
              </w:numPr>
              <w:spacing w:before="100" w:beforeAutospacing="1" w:after="100" w:afterAutospacing="1"/>
              <w:rPr>
                <w:rFonts w:eastAsia="Times New Roman" w:cstheme="minorHAnsi"/>
                <w:color w:val="191E26"/>
              </w:rPr>
            </w:pPr>
            <w:r w:rsidRPr="00EF2663">
              <w:rPr>
                <w:rFonts w:eastAsia="Times New Roman" w:cstheme="minorHAnsi"/>
                <w:color w:val="191E26"/>
              </w:rPr>
              <w:t>Provide opportunities to shop and pay online or on the phone whenever possible.</w:t>
            </w:r>
          </w:p>
          <w:p w14:paraId="0B9E0CF6" w14:textId="77777777" w:rsidR="00EF2663" w:rsidRPr="00EF2663" w:rsidRDefault="00EF2663" w:rsidP="00EF2663">
            <w:pPr>
              <w:numPr>
                <w:ilvl w:val="0"/>
                <w:numId w:val="10"/>
              </w:numPr>
              <w:spacing w:before="100" w:beforeAutospacing="1" w:after="100" w:afterAutospacing="1"/>
              <w:rPr>
                <w:rFonts w:eastAsia="Times New Roman" w:cstheme="minorHAnsi"/>
                <w:color w:val="191E26"/>
              </w:rPr>
            </w:pPr>
            <w:r w:rsidRPr="00EF2663">
              <w:rPr>
                <w:rFonts w:eastAsia="Times New Roman" w:cstheme="minorHAnsi"/>
                <w:color w:val="191E26"/>
              </w:rPr>
              <w:t>Provide options for home delivery, in store pickup, or curbside pickup whenever possible to minimize the number of customers in facilities.</w:t>
            </w:r>
          </w:p>
          <w:p w14:paraId="4963F576" w14:textId="77777777" w:rsidR="00EF2663" w:rsidRPr="00EF2663" w:rsidRDefault="00EF2663" w:rsidP="00EF2663">
            <w:pPr>
              <w:numPr>
                <w:ilvl w:val="0"/>
                <w:numId w:val="10"/>
              </w:numPr>
              <w:spacing w:before="100" w:beforeAutospacing="1" w:after="100" w:afterAutospacing="1"/>
              <w:rPr>
                <w:rFonts w:eastAsia="Times New Roman" w:cstheme="minorHAnsi"/>
                <w:color w:val="191E26"/>
              </w:rPr>
            </w:pPr>
            <w:r w:rsidRPr="00EF2663">
              <w:rPr>
                <w:rFonts w:eastAsia="Times New Roman" w:cstheme="minorHAnsi"/>
                <w:color w:val="191E26"/>
              </w:rPr>
              <w:t>When protective equipment such as face coverings are used, launder daily and wash hands after touching/adjusting face covering while working.</w:t>
            </w:r>
          </w:p>
          <w:p w14:paraId="1ACC8BA6" w14:textId="77777777" w:rsidR="00EF2663" w:rsidRPr="00EF2663" w:rsidRDefault="00EF2663" w:rsidP="00EF2663">
            <w:pPr>
              <w:numPr>
                <w:ilvl w:val="0"/>
                <w:numId w:val="10"/>
              </w:numPr>
              <w:spacing w:before="100" w:beforeAutospacing="1" w:after="100" w:afterAutospacing="1"/>
              <w:rPr>
                <w:rFonts w:eastAsia="Times New Roman" w:cstheme="minorHAnsi"/>
                <w:color w:val="191E26"/>
              </w:rPr>
            </w:pPr>
            <w:r w:rsidRPr="00EF2663">
              <w:rPr>
                <w:rFonts w:eastAsia="Times New Roman" w:cstheme="minorHAnsi"/>
                <w:color w:val="191E26"/>
              </w:rPr>
              <w:t>Use separate doors to enter and exit the establishment when possible.</w:t>
            </w:r>
          </w:p>
          <w:p w14:paraId="3416170D" w14:textId="77777777" w:rsidR="00EF2663" w:rsidRPr="00EF2663" w:rsidRDefault="00EF2663" w:rsidP="00EF2663">
            <w:pPr>
              <w:numPr>
                <w:ilvl w:val="0"/>
                <w:numId w:val="10"/>
              </w:numPr>
              <w:spacing w:before="100" w:beforeAutospacing="1" w:after="100" w:afterAutospacing="1"/>
              <w:rPr>
                <w:rFonts w:eastAsia="Times New Roman" w:cstheme="minorHAnsi"/>
                <w:color w:val="191E26"/>
              </w:rPr>
            </w:pPr>
            <w:r w:rsidRPr="00EF2663">
              <w:rPr>
                <w:rFonts w:eastAsia="Times New Roman" w:cstheme="minorHAnsi"/>
                <w:color w:val="191E26"/>
              </w:rPr>
              <w:t>Consider installing touchless door and sink systems or providing single-use barriers (e.g., deli tissues, paper towels) for use in touching door and sink handles.</w:t>
            </w:r>
          </w:p>
          <w:p w14:paraId="4E7F2CF5" w14:textId="77777777" w:rsidR="00EF2663" w:rsidRPr="00EF2663" w:rsidRDefault="00EF2663" w:rsidP="00EF2663">
            <w:pPr>
              <w:numPr>
                <w:ilvl w:val="0"/>
                <w:numId w:val="10"/>
              </w:numPr>
              <w:spacing w:before="100" w:beforeAutospacing="1" w:after="100" w:afterAutospacing="1"/>
              <w:rPr>
                <w:rFonts w:eastAsia="Times New Roman" w:cstheme="minorHAnsi"/>
                <w:color w:val="191E26"/>
              </w:rPr>
            </w:pPr>
            <w:r w:rsidRPr="00EF2663">
              <w:rPr>
                <w:rFonts w:eastAsia="Times New Roman" w:cstheme="minorHAnsi"/>
                <w:color w:val="191E26"/>
              </w:rPr>
              <w:t>Consider using a reservation system to schedule customer visits, including asking customers to set up a time to visit the showroom or sales floor to limit the number of customers in a facility.  </w:t>
            </w:r>
          </w:p>
          <w:p w14:paraId="7FEC87AB" w14:textId="77777777" w:rsidR="00EF2663" w:rsidRPr="00EF2663" w:rsidRDefault="00EF2663" w:rsidP="00EF2663">
            <w:pPr>
              <w:numPr>
                <w:ilvl w:val="0"/>
                <w:numId w:val="10"/>
              </w:numPr>
              <w:spacing w:before="100" w:beforeAutospacing="1" w:after="100" w:afterAutospacing="1"/>
              <w:rPr>
                <w:rFonts w:eastAsia="Times New Roman" w:cstheme="minorHAnsi"/>
                <w:color w:val="191E26"/>
              </w:rPr>
            </w:pPr>
            <w:r w:rsidRPr="00EF2663">
              <w:rPr>
                <w:rFonts w:eastAsia="Times New Roman" w:cstheme="minorHAnsi"/>
                <w:color w:val="191E26"/>
              </w:rPr>
              <w:t>Prohibit congregating in break rooms or common areas and limit the capacity of such areas to allow for safe physical distancing of a minimum of six feet whenever possible.</w:t>
            </w:r>
          </w:p>
          <w:p w14:paraId="5A6EF0B7" w14:textId="7508BDD4" w:rsidR="001858E4" w:rsidRPr="001858E4" w:rsidRDefault="00EF2663" w:rsidP="001858E4">
            <w:pPr>
              <w:numPr>
                <w:ilvl w:val="0"/>
                <w:numId w:val="10"/>
              </w:numPr>
              <w:spacing w:before="100" w:beforeAutospacing="1" w:after="100" w:afterAutospacing="1"/>
              <w:rPr>
                <w:rFonts w:eastAsia="Times New Roman" w:cstheme="minorHAnsi"/>
                <w:color w:val="191E26"/>
                <w:sz w:val="20"/>
                <w:szCs w:val="20"/>
              </w:rPr>
            </w:pPr>
            <w:r w:rsidRPr="00EF2663">
              <w:rPr>
                <w:rFonts w:eastAsia="Times New Roman" w:cstheme="minorHAnsi"/>
                <w:color w:val="191E26"/>
              </w:rPr>
              <w:t>If reusable shopping bags are permitted, ask customers to bag their own products/groceries.</w:t>
            </w:r>
          </w:p>
        </w:tc>
      </w:tr>
      <w:tr w:rsidR="00FD15B6" w14:paraId="636862FE" w14:textId="77777777" w:rsidTr="00FD15B6">
        <w:tc>
          <w:tcPr>
            <w:tcW w:w="9350" w:type="dxa"/>
            <w:shd w:val="clear" w:color="auto" w:fill="C00000"/>
          </w:tcPr>
          <w:p w14:paraId="0E3A0898" w14:textId="744C2842" w:rsidR="00FD15B6" w:rsidRPr="00FD15B6" w:rsidRDefault="00FD15B6" w:rsidP="00FD15B6">
            <w:pPr>
              <w:jc w:val="center"/>
              <w:rPr>
                <w:b/>
              </w:rPr>
            </w:pPr>
            <w:r w:rsidRPr="00FD15B6">
              <w:rPr>
                <w:b/>
              </w:rPr>
              <w:t>Other References from Industry Groups</w:t>
            </w:r>
          </w:p>
        </w:tc>
      </w:tr>
      <w:tr w:rsidR="00FD15B6" w14:paraId="123979E4" w14:textId="77777777" w:rsidTr="00FD15B6">
        <w:tc>
          <w:tcPr>
            <w:tcW w:w="9350" w:type="dxa"/>
          </w:tcPr>
          <w:p w14:paraId="7A3864DC" w14:textId="77777777" w:rsidR="00C65223" w:rsidRDefault="00C65223" w:rsidP="00C65223">
            <w:pPr>
              <w:ind w:left="230"/>
              <w:rPr>
                <w:rFonts w:eastAsia="Times New Roman" w:cstheme="minorHAnsi"/>
                <w:color w:val="282828"/>
              </w:rPr>
            </w:pPr>
          </w:p>
          <w:p w14:paraId="498F1C32" w14:textId="42921B91" w:rsidR="00FD15B6" w:rsidRPr="00C65223" w:rsidRDefault="001858E4" w:rsidP="00C65223">
            <w:pPr>
              <w:ind w:left="230"/>
              <w:rPr>
                <w:rFonts w:eastAsia="Times New Roman" w:cstheme="minorHAnsi"/>
                <w:color w:val="282828"/>
                <w:sz w:val="24"/>
                <w:szCs w:val="24"/>
              </w:rPr>
            </w:pPr>
            <w:r w:rsidRPr="00C65223">
              <w:rPr>
                <w:rFonts w:eastAsia="Times New Roman" w:cstheme="minorHAnsi"/>
                <w:color w:val="282828"/>
              </w:rPr>
              <w:t xml:space="preserve">National Retail Federation: </w:t>
            </w:r>
            <w:hyperlink r:id="rId12" w:history="1">
              <w:r w:rsidRPr="00C65223">
                <w:rPr>
                  <w:rStyle w:val="Hyperlink"/>
                  <w:rFonts w:eastAsia="Times New Roman" w:cstheme="minorHAnsi"/>
                </w:rPr>
                <w:t>Operation Open Doors Checklist</w:t>
              </w:r>
            </w:hyperlink>
          </w:p>
        </w:tc>
      </w:tr>
    </w:tbl>
    <w:p w14:paraId="2FC9C411" w14:textId="77777777" w:rsidR="00FD15B6" w:rsidRDefault="00FD15B6"/>
    <w:sectPr w:rsidR="00FD1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quity Tex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95AF2"/>
    <w:multiLevelType w:val="hybridMultilevel"/>
    <w:tmpl w:val="D346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902B9"/>
    <w:multiLevelType w:val="multilevel"/>
    <w:tmpl w:val="5902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94B4B"/>
    <w:multiLevelType w:val="multilevel"/>
    <w:tmpl w:val="9142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F7C2E"/>
    <w:multiLevelType w:val="multilevel"/>
    <w:tmpl w:val="8D6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C2D25"/>
    <w:multiLevelType w:val="multilevel"/>
    <w:tmpl w:val="241C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C2BB5"/>
    <w:multiLevelType w:val="multilevel"/>
    <w:tmpl w:val="F30E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565EF"/>
    <w:multiLevelType w:val="hybridMultilevel"/>
    <w:tmpl w:val="9D2629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1D7D1D"/>
    <w:multiLevelType w:val="multilevel"/>
    <w:tmpl w:val="2196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C7508E"/>
    <w:multiLevelType w:val="hybridMultilevel"/>
    <w:tmpl w:val="2CCAC52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9" w15:restartNumberingAfterBreak="0">
    <w:nsid w:val="5CC957F7"/>
    <w:multiLevelType w:val="hybridMultilevel"/>
    <w:tmpl w:val="D346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3"/>
  </w:num>
  <w:num w:numId="5">
    <w:abstractNumId w:val="7"/>
  </w:num>
  <w:num w:numId="6">
    <w:abstractNumId w:val="1"/>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C6"/>
    <w:rsid w:val="000120D5"/>
    <w:rsid w:val="001659AC"/>
    <w:rsid w:val="001858E4"/>
    <w:rsid w:val="00191126"/>
    <w:rsid w:val="001E08C6"/>
    <w:rsid w:val="00321311"/>
    <w:rsid w:val="00382812"/>
    <w:rsid w:val="00846232"/>
    <w:rsid w:val="008B7F2B"/>
    <w:rsid w:val="00B4794D"/>
    <w:rsid w:val="00BD666E"/>
    <w:rsid w:val="00BD7019"/>
    <w:rsid w:val="00C15A07"/>
    <w:rsid w:val="00C65223"/>
    <w:rsid w:val="00CD2318"/>
    <w:rsid w:val="00D8756C"/>
    <w:rsid w:val="00DF5434"/>
    <w:rsid w:val="00E55B6C"/>
    <w:rsid w:val="00EF2663"/>
    <w:rsid w:val="00FD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CA6D"/>
  <w15:chartTrackingRefBased/>
  <w15:docId w15:val="{B21136D7-12AC-46BF-8869-4DF47A40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D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F2B"/>
    <w:rPr>
      <w:color w:val="DC8633"/>
      <w:u w:val="single"/>
    </w:rPr>
  </w:style>
  <w:style w:type="paragraph" w:styleId="ListParagraph">
    <w:name w:val="List Paragraph"/>
    <w:basedOn w:val="Normal"/>
    <w:uiPriority w:val="34"/>
    <w:qFormat/>
    <w:rsid w:val="001659AC"/>
    <w:pPr>
      <w:ind w:left="720"/>
      <w:contextualSpacing/>
    </w:pPr>
  </w:style>
  <w:style w:type="character" w:styleId="UnresolvedMention">
    <w:name w:val="Unresolved Mention"/>
    <w:basedOn w:val="DefaultParagraphFont"/>
    <w:uiPriority w:val="99"/>
    <w:semiHidden/>
    <w:unhideWhenUsed/>
    <w:rsid w:val="00846232"/>
    <w:rPr>
      <w:color w:val="605E5C"/>
      <w:shd w:val="clear" w:color="auto" w:fill="E1DFDD"/>
    </w:rPr>
  </w:style>
  <w:style w:type="paragraph" w:styleId="NormalWeb">
    <w:name w:val="Normal (Web)"/>
    <w:basedOn w:val="Normal"/>
    <w:uiPriority w:val="99"/>
    <w:semiHidden/>
    <w:unhideWhenUsed/>
    <w:rsid w:val="00EF2663"/>
    <w:rPr>
      <w:rFonts w:ascii="Times New Roman" w:hAnsi="Times New Roman" w:cs="Times New Roman"/>
      <w:sz w:val="24"/>
      <w:szCs w:val="24"/>
    </w:rPr>
  </w:style>
  <w:style w:type="paragraph" w:customStyle="1" w:styleId="Default">
    <w:name w:val="Default"/>
    <w:rsid w:val="00191126"/>
    <w:pPr>
      <w:autoSpaceDE w:val="0"/>
      <w:autoSpaceDN w:val="0"/>
      <w:adjustRightInd w:val="0"/>
      <w:spacing w:after="0" w:line="240" w:lineRule="auto"/>
    </w:pPr>
    <w:rPr>
      <w:rFonts w:ascii="Equity Text" w:hAnsi="Equity Text" w:cs="Equity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people-at-higher-risk.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ernor.virginia.gov/media/governorvirginiagov/governor-of-virginia/pdf/eo/EO-65-Phase-Two.pdf" TargetMode="External"/><Relationship Id="rId12" Type="http://schemas.openxmlformats.org/officeDocument/2006/relationships/hyperlink" Target="https://assets.simpleviewinc.com/simpleview/image/upload/v1/clients/loudoun/NRF_Operation_Open_Doors_Checklist_0a65d648-d4a2-4d69-bfaa-985db044cd4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dc.gov/coronavirus/2019-ncov/need-extra-precautions/people-at-higher-risk.html" TargetMode="External"/><Relationship Id="rId5" Type="http://schemas.openxmlformats.org/officeDocument/2006/relationships/image" Target="media/image1.jpg"/><Relationship Id="rId10" Type="http://schemas.openxmlformats.org/officeDocument/2006/relationships/hyperlink" Target="https://www.epa.gov/pesticide-registration/list-n-disinfectants-use-against-sars-cov-2" TargetMode="External"/><Relationship Id="rId4" Type="http://schemas.openxmlformats.org/officeDocument/2006/relationships/webSettings" Target="webSettings.xml"/><Relationship Id="rId9" Type="http://schemas.openxmlformats.org/officeDocument/2006/relationships/hyperlink" Target="https://www.cdc.gov/coronavirus/2019-ncov/prevent-getting-sick/diy-cloth-face-covering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Loudoun County</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Styles, Amber</dc:creator>
  <cp:keywords/>
  <dc:description/>
  <cp:lastModifiedBy>Beth Erickson</cp:lastModifiedBy>
  <cp:revision>3</cp:revision>
  <cp:lastPrinted>2020-05-27T15:06:00Z</cp:lastPrinted>
  <dcterms:created xsi:type="dcterms:W3CDTF">2020-06-24T11:48:00Z</dcterms:created>
  <dcterms:modified xsi:type="dcterms:W3CDTF">2020-06-24T11:53:00Z</dcterms:modified>
</cp:coreProperties>
</file>