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CellMar>
          <w:left w:w="0" w:type="dxa"/>
          <w:right w:w="0" w:type="dxa"/>
        </w:tblCellMar>
        <w:tblLook w:val="04A0" w:firstRow="1" w:lastRow="0" w:firstColumn="1" w:lastColumn="0" w:noHBand="0" w:noVBand="1"/>
      </w:tblPr>
      <w:tblGrid>
        <w:gridCol w:w="4444"/>
        <w:gridCol w:w="4916"/>
      </w:tblGrid>
      <w:tr w:rsidR="00FD15B6" w14:paraId="12DCD517" w14:textId="77777777" w:rsidTr="00FD15B6">
        <w:tc>
          <w:tcPr>
            <w:tcW w:w="4444" w:type="dxa"/>
            <w:tcBorders>
              <w:top w:val="nil"/>
              <w:left w:val="nil"/>
              <w:bottom w:val="nil"/>
              <w:right w:val="nil"/>
            </w:tcBorders>
          </w:tcPr>
          <w:p w14:paraId="6446B96B" w14:textId="77777777" w:rsidR="00FD15B6" w:rsidRDefault="00FD15B6" w:rsidP="004939E4">
            <w:r>
              <w:rPr>
                <w:noProof/>
              </w:rPr>
              <w:drawing>
                <wp:anchor distT="0" distB="0" distL="114300" distR="114300" simplePos="0" relativeHeight="251659264" behindDoc="0" locked="0" layoutInCell="1" allowOverlap="1" wp14:anchorId="3CE780B0" wp14:editId="22E49AE4">
                  <wp:simplePos x="0" y="0"/>
                  <wp:positionH relativeFrom="margin">
                    <wp:posOffset>0</wp:posOffset>
                  </wp:positionH>
                  <wp:positionV relativeFrom="paragraph">
                    <wp:posOffset>0</wp:posOffset>
                  </wp:positionV>
                  <wp:extent cx="2105025" cy="2321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oun Is Readyfull color-100.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321560"/>
                          </a:xfrm>
                          <a:prstGeom prst="rect">
                            <a:avLst/>
                          </a:prstGeom>
                        </pic:spPr>
                      </pic:pic>
                    </a:graphicData>
                  </a:graphic>
                  <wp14:sizeRelH relativeFrom="margin">
                    <wp14:pctWidth>0</wp14:pctWidth>
                  </wp14:sizeRelH>
                  <wp14:sizeRelV relativeFrom="margin">
                    <wp14:pctHeight>0</wp14:pctHeight>
                  </wp14:sizeRelV>
                </wp:anchor>
              </w:drawing>
            </w:r>
          </w:p>
        </w:tc>
        <w:tc>
          <w:tcPr>
            <w:tcW w:w="4916" w:type="dxa"/>
            <w:tcBorders>
              <w:top w:val="nil"/>
              <w:left w:val="nil"/>
              <w:bottom w:val="nil"/>
              <w:right w:val="nil"/>
            </w:tcBorders>
            <w:vAlign w:val="center"/>
          </w:tcPr>
          <w:p w14:paraId="08443A7B" w14:textId="77777777" w:rsidR="00FD15B6" w:rsidRDefault="00FD15B6" w:rsidP="004939E4">
            <w:pPr>
              <w:jc w:val="center"/>
            </w:pPr>
            <w:r>
              <w:rPr>
                <w:noProof/>
              </w:rPr>
              <w:drawing>
                <wp:inline distT="0" distB="0" distL="0" distR="0" wp14:anchorId="0585C015" wp14:editId="77269521">
                  <wp:extent cx="3121660" cy="8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doun Is Readybar.png"/>
                          <pic:cNvPicPr/>
                        </pic:nvPicPr>
                        <pic:blipFill>
                          <a:blip r:embed="rId6">
                            <a:extLst>
                              <a:ext uri="{28A0092B-C50C-407E-A947-70E740481C1C}">
                                <a14:useLocalDpi xmlns:a14="http://schemas.microsoft.com/office/drawing/2010/main" val="0"/>
                              </a:ext>
                            </a:extLst>
                          </a:blip>
                          <a:stretch>
                            <a:fillRect/>
                          </a:stretch>
                        </pic:blipFill>
                        <pic:spPr>
                          <a:xfrm>
                            <a:off x="0" y="0"/>
                            <a:ext cx="3121660" cy="808800"/>
                          </a:xfrm>
                          <a:prstGeom prst="rect">
                            <a:avLst/>
                          </a:prstGeom>
                        </pic:spPr>
                      </pic:pic>
                    </a:graphicData>
                  </a:graphic>
                </wp:inline>
              </w:drawing>
            </w:r>
          </w:p>
          <w:p w14:paraId="3C8436C8" w14:textId="77777777" w:rsidR="00FD15B6" w:rsidRDefault="00FD15B6" w:rsidP="004939E4">
            <w:pPr>
              <w:jc w:val="center"/>
              <w:rPr>
                <w:color w:val="C00000"/>
                <w:sz w:val="32"/>
                <w:szCs w:val="32"/>
              </w:rPr>
            </w:pPr>
          </w:p>
          <w:p w14:paraId="091E7002" w14:textId="63FFA98A" w:rsidR="00B64A79" w:rsidRDefault="00FD15B6" w:rsidP="00BD666E">
            <w:pPr>
              <w:jc w:val="center"/>
              <w:rPr>
                <w:color w:val="C00000"/>
                <w:sz w:val="32"/>
                <w:szCs w:val="32"/>
              </w:rPr>
            </w:pPr>
            <w:r w:rsidRPr="00321311">
              <w:rPr>
                <w:color w:val="C00000"/>
                <w:sz w:val="32"/>
                <w:szCs w:val="32"/>
              </w:rPr>
              <w:t xml:space="preserve">Safer at Home Phase </w:t>
            </w:r>
            <w:r w:rsidR="00A606C3">
              <w:rPr>
                <w:color w:val="C00000"/>
                <w:sz w:val="32"/>
                <w:szCs w:val="32"/>
              </w:rPr>
              <w:t>T</w:t>
            </w:r>
            <w:r w:rsidR="006218AC">
              <w:rPr>
                <w:color w:val="C00000"/>
                <w:sz w:val="32"/>
                <w:szCs w:val="32"/>
              </w:rPr>
              <w:t>hree</w:t>
            </w:r>
          </w:p>
          <w:p w14:paraId="532CE078" w14:textId="19FBC03D" w:rsidR="00BD666E" w:rsidRDefault="00D166A3" w:rsidP="00BD666E">
            <w:pPr>
              <w:jc w:val="center"/>
              <w:rPr>
                <w:b/>
                <w:color w:val="C00000"/>
                <w:sz w:val="32"/>
                <w:szCs w:val="32"/>
              </w:rPr>
            </w:pPr>
            <w:r>
              <w:rPr>
                <w:b/>
                <w:color w:val="C00000"/>
                <w:sz w:val="32"/>
                <w:szCs w:val="32"/>
              </w:rPr>
              <w:t>Swimming Pools</w:t>
            </w:r>
          </w:p>
          <w:p w14:paraId="2ABC3F80" w14:textId="148BD311" w:rsidR="00BD666E" w:rsidRPr="00321311" w:rsidRDefault="00BD666E" w:rsidP="00321311">
            <w:pPr>
              <w:jc w:val="center"/>
              <w:rPr>
                <w:b/>
                <w:color w:val="C00000"/>
                <w:sz w:val="32"/>
                <w:szCs w:val="32"/>
              </w:rPr>
            </w:pPr>
          </w:p>
        </w:tc>
      </w:tr>
    </w:tbl>
    <w:tbl>
      <w:tblPr>
        <w:tblStyle w:val="TableGrid"/>
        <w:tblW w:w="0" w:type="auto"/>
        <w:tblLook w:val="04A0" w:firstRow="1" w:lastRow="0" w:firstColumn="1" w:lastColumn="0" w:noHBand="0" w:noVBand="1"/>
      </w:tblPr>
      <w:tblGrid>
        <w:gridCol w:w="9350"/>
      </w:tblGrid>
      <w:tr w:rsidR="00FD15B6" w:rsidRPr="00EB4881" w14:paraId="29E6B262" w14:textId="77777777" w:rsidTr="00FD15B6">
        <w:tc>
          <w:tcPr>
            <w:tcW w:w="9350" w:type="dxa"/>
            <w:shd w:val="clear" w:color="auto" w:fill="C00000"/>
          </w:tcPr>
          <w:p w14:paraId="1343C4EF" w14:textId="7EABE8E9" w:rsidR="00FD15B6" w:rsidRPr="00EB4881" w:rsidRDefault="00FD15B6" w:rsidP="00FD15B6">
            <w:pPr>
              <w:jc w:val="center"/>
              <w:rPr>
                <w:rFonts w:ascii="Calibri" w:hAnsi="Calibri" w:cs="Calibri"/>
                <w:b/>
              </w:rPr>
            </w:pPr>
            <w:r w:rsidRPr="00EB4881">
              <w:rPr>
                <w:rFonts w:ascii="Calibri" w:hAnsi="Calibri" w:cs="Calibri"/>
                <w:b/>
              </w:rPr>
              <w:t>Use of Face Coverings</w:t>
            </w:r>
          </w:p>
        </w:tc>
      </w:tr>
      <w:tr w:rsidR="00FD15B6" w:rsidRPr="00EB4881" w14:paraId="0CC46CF9" w14:textId="77777777" w:rsidTr="00FD15B6">
        <w:tc>
          <w:tcPr>
            <w:tcW w:w="9350" w:type="dxa"/>
          </w:tcPr>
          <w:p w14:paraId="06FE8AC2" w14:textId="2286B46E" w:rsidR="008B7F2B" w:rsidRPr="00EB4881" w:rsidRDefault="008B7F2B" w:rsidP="008B7F2B">
            <w:pPr>
              <w:rPr>
                <w:rFonts w:ascii="Calibri" w:eastAsia="Times New Roman" w:hAnsi="Calibri" w:cs="Calibri"/>
                <w:color w:val="333333"/>
              </w:rPr>
            </w:pPr>
            <w:r w:rsidRPr="00EB4881">
              <w:rPr>
                <w:rFonts w:ascii="Calibri" w:eastAsia="Times New Roman" w:hAnsi="Calibri" w:cs="Calibri"/>
                <w:color w:val="333333"/>
              </w:rPr>
              <w:br/>
              <w:t>All patrons in the Commonwealth aged ten and over shall when entering, exiting, traveling through, and spending time inside the settings listed below cover their mouth and nose with a face covering, as described and recommended by the CDC:</w:t>
            </w:r>
          </w:p>
          <w:p w14:paraId="31D4B1F1" w14:textId="1300D8B8" w:rsidR="008B7F2B" w:rsidRPr="00EB4881" w:rsidRDefault="008B7F2B" w:rsidP="008B7F2B">
            <w:pPr>
              <w:rPr>
                <w:rFonts w:ascii="Calibri" w:eastAsia="Times New Roman" w:hAnsi="Calibri" w:cs="Calibri"/>
                <w:color w:val="333333"/>
              </w:rPr>
            </w:pPr>
            <w:r w:rsidRPr="00EB4881">
              <w:rPr>
                <w:rFonts w:ascii="Calibri" w:eastAsia="Times New Roman" w:hAnsi="Calibri" w:cs="Calibri"/>
                <w:color w:val="333333"/>
              </w:rPr>
              <w:t>…</w:t>
            </w:r>
          </w:p>
          <w:p w14:paraId="1DE0D084" w14:textId="65E39A00" w:rsidR="00A606C3" w:rsidRPr="00EB4881" w:rsidRDefault="00D166A3" w:rsidP="00A606C3">
            <w:pPr>
              <w:rPr>
                <w:rFonts w:ascii="Calibri" w:hAnsi="Calibri" w:cs="Calibri"/>
              </w:rPr>
            </w:pPr>
            <w:hyperlink r:id="rId7" w:history="1">
              <w:r w:rsidR="00A606C3" w:rsidRPr="00EB4881">
                <w:rPr>
                  <w:rStyle w:val="Hyperlink"/>
                  <w:rFonts w:ascii="Calibri" w:hAnsi="Calibri" w:cs="Calibri"/>
                </w:rPr>
                <w:t>Executive Order #65</w:t>
              </w:r>
            </w:hyperlink>
            <w:r w:rsidR="00A606C3" w:rsidRPr="00EB4881">
              <w:rPr>
                <w:rFonts w:ascii="Calibri" w:hAnsi="Calibri" w:cs="Calibri"/>
              </w:rPr>
              <w:t xml:space="preserve"> as it pertains to </w:t>
            </w:r>
            <w:r w:rsidRPr="00D166A3">
              <w:rPr>
                <w:rFonts w:ascii="Calibri" w:hAnsi="Calibri" w:cs="Calibri"/>
              </w:rPr>
              <w:t>Indoor and outdoor swimming pools.</w:t>
            </w:r>
            <w:r>
              <w:rPr>
                <w:sz w:val="32"/>
                <w:szCs w:val="32"/>
              </w:rPr>
              <w:t xml:space="preserve"> </w:t>
            </w:r>
            <w:r w:rsidR="00A606C3" w:rsidRPr="00EB4881">
              <w:rPr>
                <w:rFonts w:ascii="Calibri" w:hAnsi="Calibri" w:cs="Calibri"/>
              </w:rPr>
              <w:t>Northern Virginia moves into Phase T</w:t>
            </w:r>
            <w:r w:rsidR="006218AC">
              <w:rPr>
                <w:rFonts w:ascii="Calibri" w:hAnsi="Calibri" w:cs="Calibri"/>
              </w:rPr>
              <w:t>hree</w:t>
            </w:r>
            <w:r w:rsidR="00A606C3" w:rsidRPr="00EB4881">
              <w:rPr>
                <w:rFonts w:ascii="Calibri" w:hAnsi="Calibri" w:cs="Calibri"/>
              </w:rPr>
              <w:t xml:space="preserve"> on </w:t>
            </w:r>
            <w:r w:rsidR="006218AC">
              <w:rPr>
                <w:rFonts w:ascii="Calibri" w:hAnsi="Calibri" w:cs="Calibri"/>
              </w:rPr>
              <w:t>Wednesday, July 1,</w:t>
            </w:r>
            <w:r w:rsidR="00A606C3" w:rsidRPr="00EB4881">
              <w:rPr>
                <w:rFonts w:ascii="Calibri" w:hAnsi="Calibri" w:cs="Calibri"/>
              </w:rPr>
              <w:t xml:space="preserve"> 2020.  </w:t>
            </w:r>
          </w:p>
          <w:p w14:paraId="465C8759" w14:textId="77777777" w:rsidR="00B34A0D" w:rsidRPr="00EB4881" w:rsidRDefault="00B34A0D" w:rsidP="00EB4881">
            <w:pPr>
              <w:rPr>
                <w:rFonts w:ascii="Calibri" w:hAnsi="Calibri" w:cs="Calibri"/>
              </w:rPr>
            </w:pPr>
          </w:p>
          <w:p w14:paraId="20E189E3" w14:textId="07739778" w:rsidR="00FD15B6" w:rsidRDefault="00D166A3" w:rsidP="008B7F2B">
            <w:pPr>
              <w:rPr>
                <w:rFonts w:ascii="Calibri" w:hAnsi="Calibri" w:cs="Calibri"/>
              </w:rPr>
            </w:pPr>
            <w:r w:rsidRPr="00D166A3">
              <w:rPr>
                <w:rFonts w:ascii="Calibri" w:hAnsi="Calibri" w:cs="Calibri"/>
              </w:rPr>
              <w:t>Establishments must either implement the following mandatory requirements or remain closed.</w:t>
            </w:r>
          </w:p>
          <w:p w14:paraId="78868D70" w14:textId="5CED0064" w:rsidR="00D166A3" w:rsidRDefault="00D166A3" w:rsidP="008B7F2B">
            <w:pPr>
              <w:rPr>
                <w:rFonts w:ascii="Calibri" w:hAnsi="Calibri" w:cs="Calibri"/>
              </w:rPr>
            </w:pPr>
          </w:p>
          <w:p w14:paraId="0B34DC2A" w14:textId="3B848AE4" w:rsidR="00D166A3" w:rsidRDefault="00D166A3" w:rsidP="008B7F2B">
            <w:pPr>
              <w:rPr>
                <w:rFonts w:ascii="Calibri" w:hAnsi="Calibri" w:cs="Calibri"/>
              </w:rPr>
            </w:pPr>
            <w:r>
              <w:rPr>
                <w:sz w:val="23"/>
                <w:szCs w:val="23"/>
              </w:rPr>
              <w:t>Businesses must strictly adhere to the physical distancing guidelines, enhanced cleaning and disinfection practices, and enhanced workplace safety practices provided in the “Guidelines for All Business Sectors” document. If businesses choose to open, they must adhere to the following additional requirements for outdoor operations:</w:t>
            </w:r>
          </w:p>
          <w:p w14:paraId="12561DDD" w14:textId="140BB9BF" w:rsidR="00D166A3" w:rsidRPr="00D166A3" w:rsidRDefault="00D166A3" w:rsidP="008B7F2B">
            <w:pPr>
              <w:rPr>
                <w:rFonts w:ascii="Calibri" w:eastAsia="Times New Roman" w:hAnsi="Calibri" w:cs="Calibri"/>
                <w:b/>
                <w:bCs/>
                <w:color w:val="333333"/>
              </w:rPr>
            </w:pPr>
          </w:p>
        </w:tc>
      </w:tr>
      <w:tr w:rsidR="00FD15B6" w:rsidRPr="00EB4881" w14:paraId="06554A6A" w14:textId="77777777" w:rsidTr="00FD15B6">
        <w:tc>
          <w:tcPr>
            <w:tcW w:w="9350" w:type="dxa"/>
            <w:shd w:val="clear" w:color="auto" w:fill="C00000"/>
          </w:tcPr>
          <w:p w14:paraId="66953D15" w14:textId="20DC3E98" w:rsidR="00FD15B6" w:rsidRPr="00EB4881" w:rsidRDefault="00FD15B6" w:rsidP="00FD15B6">
            <w:pPr>
              <w:jc w:val="center"/>
              <w:rPr>
                <w:rFonts w:ascii="Calibri" w:hAnsi="Calibri" w:cs="Calibri"/>
                <w:b/>
              </w:rPr>
            </w:pPr>
            <w:r w:rsidRPr="00EB4881">
              <w:rPr>
                <w:rFonts w:ascii="Calibri" w:hAnsi="Calibri" w:cs="Calibri"/>
                <w:b/>
              </w:rPr>
              <w:t>Mandatory Requirements</w:t>
            </w:r>
          </w:p>
        </w:tc>
      </w:tr>
      <w:tr w:rsidR="00FD15B6" w:rsidRPr="00D166A3" w14:paraId="59B34B90" w14:textId="77777777" w:rsidTr="00FD15B6">
        <w:tc>
          <w:tcPr>
            <w:tcW w:w="9350" w:type="dxa"/>
          </w:tcPr>
          <w:p w14:paraId="1481353A" w14:textId="77777777" w:rsidR="00D166A3" w:rsidRPr="00D166A3" w:rsidRDefault="00D166A3" w:rsidP="00D166A3">
            <w:pPr>
              <w:pStyle w:val="ListParagraph"/>
              <w:numPr>
                <w:ilvl w:val="0"/>
                <w:numId w:val="19"/>
              </w:numPr>
              <w:autoSpaceDE w:val="0"/>
              <w:autoSpaceDN w:val="0"/>
              <w:adjustRightInd w:val="0"/>
              <w:rPr>
                <w:rFonts w:ascii="Calibri" w:hAnsi="Calibri" w:cs="Calibri"/>
                <w:color w:val="000000"/>
              </w:rPr>
            </w:pPr>
            <w:r w:rsidRPr="00D166A3">
              <w:rPr>
                <w:rFonts w:ascii="Calibri" w:hAnsi="Calibri" w:cs="Calibri"/>
                <w:color w:val="000000"/>
              </w:rPr>
              <w:t>Post signage at the entrance that states that no one with a fever or symptoms of COVID-</w:t>
            </w:r>
            <w:proofErr w:type="gramStart"/>
            <w:r w:rsidRPr="00D166A3">
              <w:rPr>
                <w:rFonts w:ascii="Calibri" w:hAnsi="Calibri" w:cs="Calibri"/>
                <w:color w:val="000000"/>
              </w:rPr>
              <w:t>19, or</w:t>
            </w:r>
            <w:proofErr w:type="gramEnd"/>
            <w:r w:rsidRPr="00D166A3">
              <w:rPr>
                <w:rFonts w:ascii="Calibri" w:hAnsi="Calibri" w:cs="Calibri"/>
                <w:color w:val="000000"/>
              </w:rPr>
              <w:t xml:space="preserve"> known exposure to a COVID-19 case in the prior 14 days, is permitted in the establishment. </w:t>
            </w:r>
          </w:p>
          <w:p w14:paraId="3BE3B847" w14:textId="2F28C082" w:rsidR="00D166A3" w:rsidRPr="00D166A3" w:rsidRDefault="00D166A3" w:rsidP="00D166A3">
            <w:pPr>
              <w:pStyle w:val="ListParagraph"/>
              <w:numPr>
                <w:ilvl w:val="0"/>
                <w:numId w:val="19"/>
              </w:numPr>
              <w:autoSpaceDE w:val="0"/>
              <w:autoSpaceDN w:val="0"/>
              <w:adjustRightInd w:val="0"/>
              <w:spacing w:after="272"/>
              <w:rPr>
                <w:rFonts w:ascii="Calibri" w:hAnsi="Calibri" w:cs="Calibri"/>
                <w:color w:val="000000"/>
              </w:rPr>
            </w:pPr>
            <w:r w:rsidRPr="00D166A3">
              <w:rPr>
                <w:rFonts w:ascii="Calibri" w:hAnsi="Calibri" w:cs="Calibri"/>
                <w:color w:val="000000"/>
              </w:rPr>
              <w:t xml:space="preserve">Post signage to provide public health reminders regarding physical distancing, gatherings, options for high-risk individuals, and staying home if sick (samples at bottom of this document). </w:t>
            </w:r>
          </w:p>
          <w:p w14:paraId="2A215D34" w14:textId="1E1CCB02" w:rsidR="00D166A3" w:rsidRPr="00D166A3" w:rsidRDefault="00D166A3" w:rsidP="00D166A3">
            <w:pPr>
              <w:pStyle w:val="ListParagraph"/>
              <w:numPr>
                <w:ilvl w:val="0"/>
                <w:numId w:val="19"/>
              </w:numPr>
              <w:autoSpaceDE w:val="0"/>
              <w:autoSpaceDN w:val="0"/>
              <w:adjustRightInd w:val="0"/>
              <w:spacing w:after="272"/>
              <w:rPr>
                <w:rFonts w:ascii="Calibri" w:hAnsi="Calibri" w:cs="Calibri"/>
                <w:color w:val="000000"/>
              </w:rPr>
            </w:pPr>
            <w:r w:rsidRPr="00D166A3">
              <w:rPr>
                <w:rFonts w:ascii="Calibri" w:hAnsi="Calibri" w:cs="Calibri"/>
                <w:color w:val="000000"/>
              </w:rPr>
              <w:t xml:space="preserve">Hot tubs, spas, saunas, splash pads, spray pools, and interactive play features must be closed. </w:t>
            </w:r>
          </w:p>
          <w:p w14:paraId="4840B359" w14:textId="77777777" w:rsidR="00D166A3" w:rsidRDefault="00D166A3" w:rsidP="00D166A3">
            <w:pPr>
              <w:pStyle w:val="ListParagraph"/>
              <w:numPr>
                <w:ilvl w:val="0"/>
                <w:numId w:val="19"/>
              </w:numPr>
              <w:autoSpaceDE w:val="0"/>
              <w:autoSpaceDN w:val="0"/>
              <w:adjustRightInd w:val="0"/>
              <w:spacing w:after="272"/>
              <w:rPr>
                <w:rFonts w:ascii="Calibri" w:hAnsi="Calibri" w:cs="Calibri"/>
                <w:color w:val="000000"/>
              </w:rPr>
            </w:pPr>
            <w:r w:rsidRPr="00D166A3">
              <w:rPr>
                <w:rFonts w:ascii="Calibri" w:hAnsi="Calibri" w:cs="Calibri"/>
                <w:color w:val="000000"/>
              </w:rPr>
              <w:t xml:space="preserve">Indoor and outdoor swimming pools may be open at up to 75% occupancy, if applicable, provided ten feet of physical distance may be maintained between patrons not of the same household. Free swim is allowed. </w:t>
            </w:r>
          </w:p>
          <w:p w14:paraId="15DF2A07" w14:textId="752D3213" w:rsidR="00D166A3" w:rsidRPr="00D166A3" w:rsidRDefault="00D166A3" w:rsidP="00D166A3">
            <w:pPr>
              <w:pStyle w:val="ListParagraph"/>
              <w:numPr>
                <w:ilvl w:val="0"/>
                <w:numId w:val="19"/>
              </w:numPr>
              <w:autoSpaceDE w:val="0"/>
              <w:autoSpaceDN w:val="0"/>
              <w:adjustRightInd w:val="0"/>
              <w:spacing w:after="272"/>
              <w:rPr>
                <w:rFonts w:ascii="Calibri" w:hAnsi="Calibri" w:cs="Calibri"/>
                <w:color w:val="000000"/>
              </w:rPr>
            </w:pPr>
            <w:r w:rsidRPr="00D166A3">
              <w:rPr>
                <w:rFonts w:ascii="Calibri" w:hAnsi="Calibri" w:cs="Calibri"/>
                <w:color w:val="000000"/>
              </w:rPr>
              <w:t xml:space="preserve">Swimming instruction and water exercise classes must be limited to allow all participants to maintain ten feet of physical distance where practicable. Parents or guardians may support a participant during class, and instructors may have contact with swimmers when necessary. </w:t>
            </w:r>
          </w:p>
          <w:p w14:paraId="24F9ABB1" w14:textId="5311BBE4" w:rsidR="00D166A3" w:rsidRPr="00D166A3" w:rsidRDefault="00D166A3" w:rsidP="00D166A3">
            <w:pPr>
              <w:pStyle w:val="ListParagraph"/>
              <w:numPr>
                <w:ilvl w:val="0"/>
                <w:numId w:val="19"/>
              </w:numPr>
              <w:autoSpaceDE w:val="0"/>
              <w:autoSpaceDN w:val="0"/>
              <w:adjustRightInd w:val="0"/>
              <w:rPr>
                <w:rFonts w:ascii="Calibri" w:hAnsi="Calibri" w:cs="Calibri"/>
                <w:color w:val="000000"/>
              </w:rPr>
            </w:pPr>
            <w:r w:rsidRPr="00D166A3">
              <w:rPr>
                <w:rFonts w:ascii="Calibri" w:hAnsi="Calibri" w:cs="Calibri"/>
                <w:color w:val="000000"/>
              </w:rPr>
              <w:t xml:space="preserve">Seating may be provided on pool decks with at least ten feet of spacing between persons who are not members of the same household. </w:t>
            </w:r>
          </w:p>
          <w:p w14:paraId="193C594E" w14:textId="77777777" w:rsidR="00D166A3" w:rsidRPr="00D166A3" w:rsidRDefault="00D166A3" w:rsidP="00D166A3">
            <w:pPr>
              <w:pStyle w:val="ListParagraph"/>
              <w:numPr>
                <w:ilvl w:val="0"/>
                <w:numId w:val="19"/>
              </w:numPr>
              <w:autoSpaceDE w:val="0"/>
              <w:autoSpaceDN w:val="0"/>
              <w:adjustRightInd w:val="0"/>
              <w:spacing w:after="272"/>
              <w:rPr>
                <w:rFonts w:ascii="Calibri" w:hAnsi="Calibri" w:cs="Calibri"/>
                <w:color w:val="000000"/>
              </w:rPr>
            </w:pPr>
            <w:r w:rsidRPr="00D166A3">
              <w:rPr>
                <w:rFonts w:ascii="Calibri" w:hAnsi="Calibri" w:cs="Calibri"/>
                <w:color w:val="000000"/>
              </w:rPr>
              <w:t xml:space="preserve">All seating (including lifeguard stations) must be cleaned and disinfected between uses. </w:t>
            </w:r>
          </w:p>
          <w:p w14:paraId="3B3ABB0F" w14:textId="4AED575F" w:rsidR="00D166A3" w:rsidRPr="00D166A3" w:rsidRDefault="00D166A3" w:rsidP="00D166A3">
            <w:pPr>
              <w:pStyle w:val="ListParagraph"/>
              <w:numPr>
                <w:ilvl w:val="0"/>
                <w:numId w:val="19"/>
              </w:numPr>
              <w:autoSpaceDE w:val="0"/>
              <w:autoSpaceDN w:val="0"/>
              <w:adjustRightInd w:val="0"/>
              <w:spacing w:after="272"/>
              <w:rPr>
                <w:rFonts w:ascii="Calibri" w:hAnsi="Calibri" w:cs="Calibri"/>
                <w:color w:val="000000"/>
              </w:rPr>
            </w:pPr>
            <w:r w:rsidRPr="00D166A3">
              <w:rPr>
                <w:rFonts w:ascii="Calibri" w:hAnsi="Calibri" w:cs="Calibri"/>
                <w:color w:val="000000"/>
              </w:rPr>
              <w:lastRenderedPageBreak/>
              <w:t xml:space="preserve">Employees working in customer-facing areas are required to wear face coverings over their nose and mouth, such as using CDC Use of Cloth Face Coverings guidance. Lifeguards responding to distressed swimmers are exempt from this requirement. </w:t>
            </w:r>
          </w:p>
          <w:p w14:paraId="5727115A" w14:textId="6EAD082B" w:rsidR="00D166A3" w:rsidRPr="00D166A3" w:rsidRDefault="00D166A3" w:rsidP="00D166A3">
            <w:pPr>
              <w:pStyle w:val="ListParagraph"/>
              <w:numPr>
                <w:ilvl w:val="0"/>
                <w:numId w:val="19"/>
              </w:numPr>
              <w:autoSpaceDE w:val="0"/>
              <w:autoSpaceDN w:val="0"/>
              <w:adjustRightInd w:val="0"/>
              <w:spacing w:after="272"/>
              <w:rPr>
                <w:rFonts w:ascii="Calibri" w:hAnsi="Calibri" w:cs="Calibri"/>
                <w:color w:val="000000"/>
              </w:rPr>
            </w:pPr>
            <w:r w:rsidRPr="00D166A3">
              <w:rPr>
                <w:rFonts w:ascii="Calibri" w:hAnsi="Calibri" w:cs="Calibri"/>
                <w:color w:val="000000"/>
              </w:rPr>
              <w:t xml:space="preserve">Provide hand sanitizing stations, including at the entrance/exit and where shared equipment is utilized. </w:t>
            </w:r>
          </w:p>
          <w:p w14:paraId="10D1A0E9" w14:textId="6E9AFE6E" w:rsidR="00D166A3" w:rsidRPr="00D166A3" w:rsidRDefault="00D166A3" w:rsidP="00D166A3">
            <w:pPr>
              <w:pStyle w:val="ListParagraph"/>
              <w:numPr>
                <w:ilvl w:val="0"/>
                <w:numId w:val="19"/>
              </w:numPr>
              <w:autoSpaceDE w:val="0"/>
              <w:autoSpaceDN w:val="0"/>
              <w:adjustRightInd w:val="0"/>
              <w:rPr>
                <w:rFonts w:ascii="Calibri" w:hAnsi="Calibri" w:cs="Calibri"/>
                <w:color w:val="000000"/>
              </w:rPr>
            </w:pPr>
            <w:r w:rsidRPr="00D166A3">
              <w:rPr>
                <w:rFonts w:ascii="Calibri" w:hAnsi="Calibri" w:cs="Calibri"/>
                <w:color w:val="000000"/>
              </w:rPr>
              <w:t xml:space="preserve">Facilities should screen patrons for COVID-19 symptoms prior to admission to the facility. Patrons should be asked if they are currently experiencing fever (100.4 degrees Fahrenheit or higher) or a sense of having a fever, a new cough that cannot be attributed to another health condition, new shortness of breath that cannot be attributed to another health condition, new chills that cannot be attributed to another health condition, a new sore throat that cannot be attributed to another health condition, or new muscle aches that cannot be attributed to another health condition or specific activity (such as physical exercise). Children should be screened per the CDC guidance for screening children. Anyone experiencing symptoms should not be permitted in the facility. Screenings should be conducted in accordance with applicable privacy and confidentiality laws and regulations. </w:t>
            </w:r>
          </w:p>
          <w:p w14:paraId="77BE6480" w14:textId="77777777" w:rsidR="00B33F1A" w:rsidRPr="00B33F1A" w:rsidRDefault="00B33F1A" w:rsidP="00B33F1A">
            <w:pPr>
              <w:autoSpaceDE w:val="0"/>
              <w:autoSpaceDN w:val="0"/>
              <w:adjustRightInd w:val="0"/>
              <w:rPr>
                <w:rFonts w:ascii="Calibri" w:hAnsi="Calibri" w:cs="Calibri"/>
                <w:color w:val="000000"/>
              </w:rPr>
            </w:pPr>
          </w:p>
          <w:p w14:paraId="11147AAF" w14:textId="779FFB3D" w:rsidR="000120D5" w:rsidRPr="00D166A3" w:rsidRDefault="000120D5" w:rsidP="006C2E75">
            <w:pPr>
              <w:ind w:left="360"/>
              <w:rPr>
                <w:rFonts w:ascii="Calibri" w:eastAsia="Times New Roman" w:hAnsi="Calibri" w:cs="Calibri"/>
                <w:color w:val="191E26"/>
              </w:rPr>
            </w:pPr>
          </w:p>
        </w:tc>
      </w:tr>
    </w:tbl>
    <w:p w14:paraId="2FC9C411" w14:textId="77777777" w:rsidR="00FD15B6" w:rsidRDefault="00FD15B6"/>
    <w:sectPr w:rsidR="00F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w:altName w:val="Equity Tex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3165"/>
    <w:multiLevelType w:val="hybridMultilevel"/>
    <w:tmpl w:val="41A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6C4F"/>
    <w:multiLevelType w:val="hybridMultilevel"/>
    <w:tmpl w:val="D96E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0098F"/>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5AF2"/>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902B9"/>
    <w:multiLevelType w:val="multilevel"/>
    <w:tmpl w:val="590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F7C2E"/>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15574"/>
    <w:multiLevelType w:val="hybridMultilevel"/>
    <w:tmpl w:val="E552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C2D2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24B4D"/>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565EF"/>
    <w:multiLevelType w:val="hybridMultilevel"/>
    <w:tmpl w:val="9D262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1D7D1D"/>
    <w:multiLevelType w:val="multilevel"/>
    <w:tmpl w:val="219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024B6"/>
    <w:multiLevelType w:val="multilevel"/>
    <w:tmpl w:val="243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9749B"/>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36EFA"/>
    <w:multiLevelType w:val="hybridMultilevel"/>
    <w:tmpl w:val="8DF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7508E"/>
    <w:multiLevelType w:val="hybridMultilevel"/>
    <w:tmpl w:val="2CCAC5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5" w15:restartNumberingAfterBreak="0">
    <w:nsid w:val="5816094D"/>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E5A03"/>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957F7"/>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22D92"/>
    <w:multiLevelType w:val="multilevel"/>
    <w:tmpl w:val="D30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7"/>
  </w:num>
  <w:num w:numId="4">
    <w:abstractNumId w:val="5"/>
  </w:num>
  <w:num w:numId="5">
    <w:abstractNumId w:val="10"/>
  </w:num>
  <w:num w:numId="6">
    <w:abstractNumId w:val="4"/>
  </w:num>
  <w:num w:numId="7">
    <w:abstractNumId w:val="14"/>
  </w:num>
  <w:num w:numId="8">
    <w:abstractNumId w:val="9"/>
  </w:num>
  <w:num w:numId="9">
    <w:abstractNumId w:val="11"/>
  </w:num>
  <w:num w:numId="10">
    <w:abstractNumId w:val="18"/>
  </w:num>
  <w:num w:numId="11">
    <w:abstractNumId w:val="13"/>
  </w:num>
  <w:num w:numId="12">
    <w:abstractNumId w:val="6"/>
  </w:num>
  <w:num w:numId="13">
    <w:abstractNumId w:val="15"/>
  </w:num>
  <w:num w:numId="14">
    <w:abstractNumId w:val="12"/>
  </w:num>
  <w:num w:numId="15">
    <w:abstractNumId w:val="8"/>
  </w:num>
  <w:num w:numId="16">
    <w:abstractNumId w:val="16"/>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C6"/>
    <w:rsid w:val="000120D5"/>
    <w:rsid w:val="001659AC"/>
    <w:rsid w:val="001B24D3"/>
    <w:rsid w:val="001E08C6"/>
    <w:rsid w:val="00321311"/>
    <w:rsid w:val="00350A36"/>
    <w:rsid w:val="00382812"/>
    <w:rsid w:val="003D555D"/>
    <w:rsid w:val="004436C5"/>
    <w:rsid w:val="004C5003"/>
    <w:rsid w:val="005B3858"/>
    <w:rsid w:val="006218AC"/>
    <w:rsid w:val="006C2E75"/>
    <w:rsid w:val="006F60E9"/>
    <w:rsid w:val="008166E5"/>
    <w:rsid w:val="00831F9C"/>
    <w:rsid w:val="008B0751"/>
    <w:rsid w:val="008B7F2B"/>
    <w:rsid w:val="00985E52"/>
    <w:rsid w:val="00A606C3"/>
    <w:rsid w:val="00A75D2C"/>
    <w:rsid w:val="00B33F1A"/>
    <w:rsid w:val="00B34A0D"/>
    <w:rsid w:val="00B4794D"/>
    <w:rsid w:val="00B64A79"/>
    <w:rsid w:val="00BA096D"/>
    <w:rsid w:val="00BB3F39"/>
    <w:rsid w:val="00BD3687"/>
    <w:rsid w:val="00BD666E"/>
    <w:rsid w:val="00BD7019"/>
    <w:rsid w:val="00CD2318"/>
    <w:rsid w:val="00D166A3"/>
    <w:rsid w:val="00E55B6C"/>
    <w:rsid w:val="00EB4881"/>
    <w:rsid w:val="00F24306"/>
    <w:rsid w:val="00F36F62"/>
    <w:rsid w:val="00F775D3"/>
    <w:rsid w:val="00FD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A6D"/>
  <w15:chartTrackingRefBased/>
  <w15:docId w15:val="{B21136D7-12AC-46BF-8869-4DF47A4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F2B"/>
    <w:rPr>
      <w:color w:val="DC8633"/>
      <w:u w:val="single"/>
    </w:rPr>
  </w:style>
  <w:style w:type="paragraph" w:styleId="ListParagraph">
    <w:name w:val="List Paragraph"/>
    <w:basedOn w:val="Normal"/>
    <w:uiPriority w:val="34"/>
    <w:qFormat/>
    <w:rsid w:val="001659AC"/>
    <w:pPr>
      <w:ind w:left="720"/>
      <w:contextualSpacing/>
    </w:pPr>
  </w:style>
  <w:style w:type="paragraph" w:styleId="NormalWeb">
    <w:name w:val="Normal (Web)"/>
    <w:basedOn w:val="Normal"/>
    <w:uiPriority w:val="99"/>
    <w:semiHidden/>
    <w:unhideWhenUsed/>
    <w:rsid w:val="005B3858"/>
    <w:rPr>
      <w:rFonts w:ascii="Times New Roman" w:hAnsi="Times New Roman" w:cs="Times New Roman"/>
      <w:sz w:val="24"/>
      <w:szCs w:val="24"/>
    </w:rPr>
  </w:style>
  <w:style w:type="paragraph" w:customStyle="1" w:styleId="Default">
    <w:name w:val="Default"/>
    <w:rsid w:val="00350A36"/>
    <w:pPr>
      <w:autoSpaceDE w:val="0"/>
      <w:autoSpaceDN w:val="0"/>
      <w:adjustRightInd w:val="0"/>
      <w:spacing w:after="0" w:line="240" w:lineRule="auto"/>
    </w:pPr>
    <w:rPr>
      <w:rFonts w:ascii="Equity Text" w:hAnsi="Equity Text" w:cs="Equity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eo/EO-65-Phase-Tw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Amber</dc:creator>
  <cp:keywords/>
  <dc:description/>
  <cp:lastModifiedBy>Beth Erickson</cp:lastModifiedBy>
  <cp:revision>3</cp:revision>
  <cp:lastPrinted>2020-05-27T15:06:00Z</cp:lastPrinted>
  <dcterms:created xsi:type="dcterms:W3CDTF">2020-06-24T12:33:00Z</dcterms:created>
  <dcterms:modified xsi:type="dcterms:W3CDTF">2020-06-24T12:37:00Z</dcterms:modified>
</cp:coreProperties>
</file>