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BBF4" w14:textId="77777777" w:rsidR="00AA295F" w:rsidRPr="009740BA" w:rsidRDefault="00AA295F" w:rsidP="00297979">
      <w:pPr>
        <w:rPr>
          <w:sz w:val="24"/>
          <w:szCs w:val="24"/>
        </w:rPr>
      </w:pPr>
    </w:p>
    <w:p w14:paraId="19EA36F3" w14:textId="62461E39" w:rsidR="00BD272F" w:rsidRPr="000133FA" w:rsidRDefault="0027470D" w:rsidP="00BD272F">
      <w:pPr>
        <w:jc w:val="center"/>
        <w:rPr>
          <w:b/>
        </w:rPr>
      </w:pPr>
      <w:r w:rsidRPr="000133FA">
        <w:rPr>
          <w:b/>
        </w:rPr>
        <w:t>Interim Guidance for Risk Assessment for COVID-19</w:t>
      </w:r>
    </w:p>
    <w:p w14:paraId="4FA2F881" w14:textId="08138C44" w:rsidR="00967BD8" w:rsidRDefault="00967BD8" w:rsidP="00FA5D28">
      <w:pPr>
        <w:spacing w:after="0" w:line="240" w:lineRule="auto"/>
        <w:jc w:val="both"/>
        <w:rPr>
          <w:rFonts w:eastAsia="Times New Roman"/>
          <w:color w:val="000000"/>
        </w:rPr>
      </w:pPr>
      <w:r w:rsidRPr="000133FA">
        <w:t xml:space="preserve">SARS-CoV-2 is a novel coronavirus that has emerged and caused </w:t>
      </w:r>
      <w:r>
        <w:t>C</w:t>
      </w:r>
      <w:r w:rsidRPr="000133FA">
        <w:t xml:space="preserve">oronavirus </w:t>
      </w:r>
      <w:r>
        <w:t>D</w:t>
      </w:r>
      <w:r w:rsidRPr="000133FA">
        <w:t>isease (COVID-19).</w:t>
      </w:r>
      <w:r>
        <w:t xml:space="preserve"> </w:t>
      </w:r>
      <w:r w:rsidRPr="000133FA">
        <w:t>Public health experts continue to learn about SARS-CoV-2, but based on current data and similar coronaviruses, spread from person-to-person happens most frequently among close contacts (those within about six feet for a time period of 10 minutes) via respiratory droplets.</w:t>
      </w:r>
    </w:p>
    <w:p w14:paraId="140B9068" w14:textId="77777777" w:rsidR="0006659C" w:rsidRPr="0006659C" w:rsidRDefault="0006659C" w:rsidP="00FA5D28">
      <w:pPr>
        <w:spacing w:after="0" w:line="240" w:lineRule="auto"/>
        <w:jc w:val="both"/>
        <w:rPr>
          <w:rFonts w:eastAsia="Times New Roman"/>
        </w:rPr>
      </w:pPr>
    </w:p>
    <w:p w14:paraId="651D2A44" w14:textId="7293A40D" w:rsidR="00524B75" w:rsidRPr="00524B75" w:rsidRDefault="00524B75" w:rsidP="00FA5D28">
      <w:pPr>
        <w:pStyle w:val="ListParagraph"/>
        <w:numPr>
          <w:ilvl w:val="0"/>
          <w:numId w:val="15"/>
        </w:numPr>
        <w:ind w:left="360"/>
        <w:jc w:val="both"/>
        <w:rPr>
          <w:b/>
          <w:bCs/>
        </w:rPr>
      </w:pPr>
      <w:r>
        <w:rPr>
          <w:i/>
          <w:iCs/>
          <w:color w:val="FF0000"/>
        </w:rPr>
        <w:t>What are the symptoms of</w:t>
      </w:r>
      <w:r w:rsidRPr="00A35902">
        <w:rPr>
          <w:i/>
          <w:iCs/>
          <w:color w:val="FF0000"/>
        </w:rPr>
        <w:t xml:space="preserve"> COVID-19?</w:t>
      </w:r>
    </w:p>
    <w:p w14:paraId="52B2A677" w14:textId="09D86A29" w:rsidR="00524B75" w:rsidRPr="00524B75" w:rsidRDefault="00524B75" w:rsidP="00FA5D28">
      <w:pPr>
        <w:pStyle w:val="ListParagraph"/>
        <w:numPr>
          <w:ilvl w:val="1"/>
          <w:numId w:val="15"/>
        </w:numPr>
        <w:spacing w:after="240"/>
        <w:ind w:left="1080"/>
        <w:contextualSpacing w:val="0"/>
        <w:jc w:val="both"/>
      </w:pPr>
      <w:r w:rsidRPr="00524B75">
        <w:t>Fever, new or worsening cough, or shortness of breath.</w:t>
      </w:r>
    </w:p>
    <w:p w14:paraId="5A18EFAA" w14:textId="2F90DC2F" w:rsidR="0002443E" w:rsidRPr="0002443E" w:rsidRDefault="00A35902" w:rsidP="00FA5D28">
      <w:pPr>
        <w:pStyle w:val="ListParagraph"/>
        <w:numPr>
          <w:ilvl w:val="0"/>
          <w:numId w:val="15"/>
        </w:numPr>
        <w:ind w:left="360"/>
        <w:jc w:val="both"/>
        <w:rPr>
          <w:b/>
          <w:bCs/>
        </w:rPr>
      </w:pPr>
      <w:r w:rsidRPr="00A35902">
        <w:rPr>
          <w:i/>
          <w:iCs/>
          <w:color w:val="FF0000"/>
        </w:rPr>
        <w:t>How does COVID-19 spread?</w:t>
      </w:r>
    </w:p>
    <w:p w14:paraId="279905AD" w14:textId="7660BB35" w:rsidR="0002443E" w:rsidRPr="0002443E" w:rsidRDefault="00A35902" w:rsidP="00FA5D28">
      <w:pPr>
        <w:pStyle w:val="ListParagraph"/>
        <w:numPr>
          <w:ilvl w:val="1"/>
          <w:numId w:val="15"/>
        </w:numPr>
        <w:ind w:left="1080"/>
        <w:jc w:val="both"/>
        <w:rPr>
          <w:b/>
          <w:bCs/>
        </w:rPr>
      </w:pPr>
      <w:r>
        <w:t>COVID-19 is spread by:</w:t>
      </w:r>
    </w:p>
    <w:p w14:paraId="53684129" w14:textId="348B9845" w:rsidR="00A35902" w:rsidRPr="000E0AD8" w:rsidRDefault="000E0AD8" w:rsidP="002925C9">
      <w:pPr>
        <w:pStyle w:val="ListParagraph"/>
        <w:numPr>
          <w:ilvl w:val="2"/>
          <w:numId w:val="15"/>
        </w:numPr>
        <w:spacing w:after="0"/>
        <w:ind w:left="1627" w:hanging="187"/>
        <w:contextualSpacing w:val="0"/>
        <w:jc w:val="both"/>
        <w:rPr>
          <w:b/>
          <w:bCs/>
        </w:rPr>
      </w:pPr>
      <w:r>
        <w:rPr>
          <w:u w:val="single"/>
        </w:rPr>
        <w:t>C</w:t>
      </w:r>
      <w:r w:rsidR="0002443E" w:rsidRPr="0002443E">
        <w:rPr>
          <w:u w:val="single"/>
        </w:rPr>
        <w:t>lose</w:t>
      </w:r>
      <w:r w:rsidR="00A35902" w:rsidRPr="0002443E">
        <w:rPr>
          <w:u w:val="single"/>
        </w:rPr>
        <w:t xml:space="preserve"> contact</w:t>
      </w:r>
      <w:r w:rsidR="00A35902">
        <w:t xml:space="preserve">: </w:t>
      </w:r>
      <w:r w:rsidR="007A4402" w:rsidRPr="000133FA">
        <w:rPr>
          <w:bCs/>
        </w:rPr>
        <w:t>defined as (a) being within approximately 6 fee</w:t>
      </w:r>
      <w:r>
        <w:rPr>
          <w:bCs/>
        </w:rPr>
        <w:t>t</w:t>
      </w:r>
      <w:r w:rsidR="007A4402" w:rsidRPr="000133FA">
        <w:rPr>
          <w:bCs/>
        </w:rPr>
        <w:t xml:space="preserve"> (2 meters) of a COVID-19 case for a prolonged period of time; close contact can occur while caring for, living with, visiting, or sharing a healthcare waiting area or room with a COVID-19 case, or (b) having direct contact with infectious secretions of a COVID-19 case (e.g., being coughed on).</w:t>
      </w:r>
    </w:p>
    <w:p w14:paraId="3459F3EB" w14:textId="2C5F66FD" w:rsidR="00867ABA" w:rsidRPr="0002443E" w:rsidRDefault="00867ABA" w:rsidP="00FA5D28">
      <w:pPr>
        <w:pStyle w:val="ListParagraph"/>
        <w:numPr>
          <w:ilvl w:val="2"/>
          <w:numId w:val="15"/>
        </w:numPr>
        <w:spacing w:after="240"/>
        <w:ind w:left="1627" w:hanging="187"/>
        <w:contextualSpacing w:val="0"/>
        <w:jc w:val="both"/>
        <w:rPr>
          <w:b/>
          <w:bCs/>
        </w:rPr>
      </w:pPr>
      <w:r>
        <w:rPr>
          <w:u w:val="single"/>
        </w:rPr>
        <w:t xml:space="preserve">Touching a </w:t>
      </w:r>
      <w:r w:rsidRPr="000E0AD8">
        <w:rPr>
          <w:u w:val="single"/>
        </w:rPr>
        <w:t>surface</w:t>
      </w:r>
      <w:r w:rsidRPr="000E0AD8">
        <w:rPr>
          <w:b/>
          <w:bCs/>
          <w:u w:val="single"/>
        </w:rPr>
        <w:t xml:space="preserve"> </w:t>
      </w:r>
      <w:r w:rsidRPr="000E0AD8">
        <w:rPr>
          <w:u w:val="single"/>
        </w:rPr>
        <w:t>or object</w:t>
      </w:r>
      <w:r w:rsidRPr="000E0AD8">
        <w:t xml:space="preserve"> with the virus and then touching mouth, nose or eyes.</w:t>
      </w:r>
    </w:p>
    <w:p w14:paraId="73A5438A" w14:textId="458D767A" w:rsidR="0002443E" w:rsidRPr="0002443E" w:rsidRDefault="0002443E" w:rsidP="00FA5D28">
      <w:pPr>
        <w:pStyle w:val="ListParagraph"/>
        <w:numPr>
          <w:ilvl w:val="0"/>
          <w:numId w:val="16"/>
        </w:numPr>
        <w:ind w:left="360"/>
        <w:jc w:val="both"/>
        <w:rPr>
          <w:i/>
          <w:iCs/>
          <w:color w:val="FF0000"/>
        </w:rPr>
      </w:pPr>
      <w:r w:rsidRPr="0002443E">
        <w:rPr>
          <w:i/>
          <w:iCs/>
          <w:color w:val="FF0000"/>
        </w:rPr>
        <w:t xml:space="preserve">Does wearing a mask prevent </w:t>
      </w:r>
      <w:r w:rsidR="006D50D0">
        <w:rPr>
          <w:i/>
          <w:iCs/>
          <w:color w:val="FF0000"/>
        </w:rPr>
        <w:t>someone</w:t>
      </w:r>
      <w:r w:rsidRPr="0002443E">
        <w:rPr>
          <w:i/>
          <w:iCs/>
          <w:color w:val="FF0000"/>
        </w:rPr>
        <w:t xml:space="preserve"> from </w:t>
      </w:r>
      <w:r w:rsidR="00E06694">
        <w:rPr>
          <w:i/>
          <w:iCs/>
          <w:color w:val="FF0000"/>
        </w:rPr>
        <w:t>being exposed to</w:t>
      </w:r>
      <w:r w:rsidRPr="0002443E">
        <w:rPr>
          <w:i/>
          <w:iCs/>
          <w:color w:val="FF0000"/>
        </w:rPr>
        <w:t xml:space="preserve"> COVID-19?</w:t>
      </w:r>
    </w:p>
    <w:p w14:paraId="3F466A31" w14:textId="4547F8E5" w:rsidR="0002443E" w:rsidRDefault="0002443E" w:rsidP="00C96CC0">
      <w:pPr>
        <w:pStyle w:val="ListParagraph"/>
        <w:numPr>
          <w:ilvl w:val="1"/>
          <w:numId w:val="16"/>
        </w:numPr>
        <w:spacing w:after="0"/>
        <w:ind w:left="1080"/>
        <w:contextualSpacing w:val="0"/>
        <w:jc w:val="both"/>
      </w:pPr>
      <w:r>
        <w:t xml:space="preserve">No. </w:t>
      </w:r>
      <w:r w:rsidR="00856963">
        <w:t xml:space="preserve"> </w:t>
      </w:r>
      <w:r>
        <w:t xml:space="preserve">The IDPH </w:t>
      </w:r>
      <w:r w:rsidR="00E06694">
        <w:t xml:space="preserve">has not found a mask to </w:t>
      </w:r>
      <w:r w:rsidR="00524B75">
        <w:t>prevent</w:t>
      </w:r>
      <w:r w:rsidR="00E06694">
        <w:t xml:space="preserve"> exposure to COVID-19</w:t>
      </w:r>
      <w:r w:rsidR="00856963">
        <w:t>; they should not be used as a preventative measure.</w:t>
      </w:r>
    </w:p>
    <w:p w14:paraId="77470658" w14:textId="0B838C89" w:rsidR="00C96CC0" w:rsidRDefault="00C96CC0" w:rsidP="00FA5D28">
      <w:pPr>
        <w:pStyle w:val="ListParagraph"/>
        <w:numPr>
          <w:ilvl w:val="1"/>
          <w:numId w:val="16"/>
        </w:numPr>
        <w:spacing w:after="240"/>
        <w:ind w:left="1080"/>
        <w:contextualSpacing w:val="0"/>
        <w:jc w:val="both"/>
      </w:pPr>
      <w:r>
        <w:t xml:space="preserve">Masks should be saved for </w:t>
      </w:r>
      <w:r>
        <w:rPr>
          <w:u w:val="single"/>
        </w:rPr>
        <w:t>patients</w:t>
      </w:r>
      <w:r>
        <w:t xml:space="preserve"> with COVID-19 and </w:t>
      </w:r>
      <w:r>
        <w:rPr>
          <w:u w:val="single"/>
        </w:rPr>
        <w:t>medical staff</w:t>
      </w:r>
      <w:r>
        <w:t xml:space="preserve"> – and used as directed by </w:t>
      </w:r>
      <w:r w:rsidR="00E92B54">
        <w:t xml:space="preserve">the manufacturer and </w:t>
      </w:r>
      <w:r>
        <w:t>medical professionals.</w:t>
      </w:r>
      <w:r w:rsidR="00856963">
        <w:t xml:space="preserve">  </w:t>
      </w:r>
    </w:p>
    <w:p w14:paraId="3B05D3C2" w14:textId="6290A89E" w:rsidR="00C96CC0" w:rsidRPr="00967BD8" w:rsidRDefault="00C96CC0" w:rsidP="00C96CC0">
      <w:pPr>
        <w:pStyle w:val="ListParagraph"/>
        <w:numPr>
          <w:ilvl w:val="0"/>
          <w:numId w:val="16"/>
        </w:numPr>
        <w:ind w:left="360"/>
        <w:jc w:val="both"/>
        <w:rPr>
          <w:i/>
          <w:iCs/>
          <w:color w:val="FF0000"/>
        </w:rPr>
      </w:pPr>
      <w:r w:rsidRPr="00967BD8">
        <w:rPr>
          <w:i/>
          <w:iCs/>
          <w:color w:val="FF0000"/>
        </w:rPr>
        <w:t xml:space="preserve">What </w:t>
      </w:r>
      <w:r>
        <w:rPr>
          <w:i/>
          <w:iCs/>
          <w:color w:val="FF0000"/>
        </w:rPr>
        <w:t>should employees do after they receive a diagnosis</w:t>
      </w:r>
      <w:r w:rsidRPr="00967BD8">
        <w:rPr>
          <w:i/>
          <w:iCs/>
          <w:color w:val="FF0000"/>
        </w:rPr>
        <w:t>?</w:t>
      </w:r>
    </w:p>
    <w:p w14:paraId="5546360E" w14:textId="763074D6" w:rsidR="00962F7A" w:rsidRPr="000E0AD8" w:rsidRDefault="00207E57" w:rsidP="00962F7A">
      <w:pPr>
        <w:pStyle w:val="ListParagraph"/>
        <w:numPr>
          <w:ilvl w:val="1"/>
          <w:numId w:val="16"/>
        </w:numPr>
        <w:spacing w:after="0"/>
        <w:ind w:left="1080"/>
        <w:contextualSpacing w:val="0"/>
        <w:jc w:val="both"/>
      </w:pPr>
      <w:r>
        <w:rPr>
          <w:bCs/>
        </w:rPr>
        <w:t xml:space="preserve">If the employee is diagnosed with COVID-19 or potential COVID-19, initially, the employee will </w:t>
      </w:r>
      <w:proofErr w:type="gramStart"/>
      <w:r>
        <w:rPr>
          <w:bCs/>
        </w:rPr>
        <w:t>continue on</w:t>
      </w:r>
      <w:proofErr w:type="gramEnd"/>
      <w:r>
        <w:rPr>
          <w:bCs/>
        </w:rPr>
        <w:t xml:space="preserve"> approved time off with pay. </w:t>
      </w:r>
      <w:r w:rsidR="00962F7A">
        <w:rPr>
          <w:bCs/>
        </w:rPr>
        <w:t xml:space="preserve"> The employee should alert their supervisor.</w:t>
      </w:r>
      <w:r w:rsidR="00965BA7">
        <w:rPr>
          <w:bCs/>
        </w:rPr>
        <w:t xml:space="preserve">  If the employee has tested positive for COVID-19, the employee should remain under home isolation precautions from seven days after symptoms started </w:t>
      </w:r>
      <w:r w:rsidR="002D4526">
        <w:rPr>
          <w:bCs/>
        </w:rPr>
        <w:t>and</w:t>
      </w:r>
      <w:r w:rsidR="00965BA7">
        <w:rPr>
          <w:bCs/>
        </w:rPr>
        <w:t xml:space="preserve"> until 72 hours after fever is gone and symptoms have improved, whichever is longer</w:t>
      </w:r>
      <w:r w:rsidR="008F7DC6">
        <w:rPr>
          <w:bCs/>
        </w:rPr>
        <w:t>, in accordance with direction from local public health</w:t>
      </w:r>
      <w:r w:rsidR="00965BA7">
        <w:rPr>
          <w:bCs/>
        </w:rPr>
        <w:t>.</w:t>
      </w:r>
      <w:r w:rsidR="00E92B54">
        <w:rPr>
          <w:bCs/>
        </w:rPr>
        <w:t xml:space="preserve">  </w:t>
      </w:r>
    </w:p>
    <w:p w14:paraId="1DADDCC4" w14:textId="77777777" w:rsidR="000E0AD8" w:rsidRPr="00962F7A" w:rsidRDefault="000E0AD8" w:rsidP="000E0AD8">
      <w:pPr>
        <w:pStyle w:val="ListParagraph"/>
        <w:spacing w:after="0"/>
        <w:ind w:left="1080"/>
        <w:contextualSpacing w:val="0"/>
        <w:jc w:val="both"/>
      </w:pPr>
    </w:p>
    <w:p w14:paraId="6E3B5C71" w14:textId="3F0E5E8E" w:rsidR="00856963" w:rsidRDefault="00856963" w:rsidP="00856963">
      <w:pPr>
        <w:pStyle w:val="ListParagraph"/>
        <w:numPr>
          <w:ilvl w:val="0"/>
          <w:numId w:val="16"/>
        </w:numPr>
        <w:ind w:left="3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As a supervisor, after learning of my employee’s potential COVID-19 symptoms</w:t>
      </w:r>
      <w:r w:rsidR="00D6043C">
        <w:rPr>
          <w:i/>
          <w:iCs/>
          <w:color w:val="FF0000"/>
        </w:rPr>
        <w:t xml:space="preserve"> or diagnosis</w:t>
      </w:r>
      <w:r>
        <w:rPr>
          <w:i/>
          <w:iCs/>
          <w:color w:val="FF0000"/>
        </w:rPr>
        <w:t>, what should I do?</w:t>
      </w:r>
    </w:p>
    <w:p w14:paraId="79DD8D18" w14:textId="76072862" w:rsidR="00856963" w:rsidRPr="002925C9" w:rsidRDefault="00D6043C" w:rsidP="00AF525D">
      <w:pPr>
        <w:pStyle w:val="ListParagraph"/>
        <w:numPr>
          <w:ilvl w:val="1"/>
          <w:numId w:val="16"/>
        </w:numPr>
        <w:spacing w:after="240"/>
        <w:ind w:left="1080"/>
        <w:contextualSpacing w:val="0"/>
        <w:jc w:val="both"/>
        <w:rPr>
          <w:i/>
          <w:iCs/>
        </w:rPr>
      </w:pPr>
      <w:r>
        <w:t>R</w:t>
      </w:r>
      <w:r w:rsidR="00856963" w:rsidRPr="00856963">
        <w:t>emain calm.</w:t>
      </w:r>
      <w:r w:rsidR="00856963">
        <w:t xml:space="preserve">  Local or state public health officials will reach out to you</w:t>
      </w:r>
      <w:r w:rsidR="00962F7A">
        <w:t xml:space="preserve"> and to any affected co-workers</w:t>
      </w:r>
      <w:r w:rsidR="00856963">
        <w:t xml:space="preserve"> with directions if it will be necessary to take additional measures.  Supervisors may </w:t>
      </w:r>
      <w:r w:rsidR="00856963" w:rsidRPr="00AF525D">
        <w:rPr>
          <w:bCs/>
        </w:rPr>
        <w:t>always</w:t>
      </w:r>
      <w:r w:rsidR="00856963">
        <w:t xml:space="preserve"> exercise discretion and caution – for instance, working to ensure distance between employees, </w:t>
      </w:r>
      <w:r w:rsidR="00962F7A">
        <w:t xml:space="preserve">moving </w:t>
      </w:r>
      <w:proofErr w:type="gramStart"/>
      <w:r w:rsidR="00962F7A">
        <w:t>work stations</w:t>
      </w:r>
      <w:proofErr w:type="gramEnd"/>
      <w:r w:rsidR="00962F7A">
        <w:t xml:space="preserve"> if an employee recently has been sick, </w:t>
      </w:r>
      <w:r w:rsidR="00856963">
        <w:t xml:space="preserve">sending home employees who </w:t>
      </w:r>
      <w:r w:rsidR="000E0AD8">
        <w:t>feel sick</w:t>
      </w:r>
      <w:r w:rsidR="00856963">
        <w:t>, and promoting compliance with public health guidance.</w:t>
      </w:r>
    </w:p>
    <w:p w14:paraId="0BA53051" w14:textId="77777777" w:rsidR="002925C9" w:rsidRPr="00AF525D" w:rsidRDefault="002925C9" w:rsidP="002925C9">
      <w:pPr>
        <w:pStyle w:val="ListParagraph"/>
        <w:spacing w:after="240"/>
        <w:ind w:left="1080"/>
        <w:contextualSpacing w:val="0"/>
        <w:jc w:val="both"/>
        <w:rPr>
          <w:i/>
          <w:iCs/>
        </w:rPr>
      </w:pPr>
    </w:p>
    <w:p w14:paraId="6F526BA5" w14:textId="30B9853D" w:rsidR="00524B75" w:rsidRPr="00967BD8" w:rsidRDefault="00524B75" w:rsidP="00FA5D28">
      <w:pPr>
        <w:pStyle w:val="ListParagraph"/>
        <w:numPr>
          <w:ilvl w:val="0"/>
          <w:numId w:val="16"/>
        </w:numPr>
        <w:ind w:left="3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As a supervisor, </w:t>
      </w:r>
      <w:r w:rsidR="00856963">
        <w:rPr>
          <w:i/>
          <w:iCs/>
          <w:color w:val="FF0000"/>
        </w:rPr>
        <w:t>if I learn of a case or potential case of COVID-19, who should I tell</w:t>
      </w:r>
      <w:r>
        <w:rPr>
          <w:i/>
          <w:iCs/>
          <w:color w:val="FF0000"/>
        </w:rPr>
        <w:t>?</w:t>
      </w:r>
      <w:r w:rsidR="00D6043C">
        <w:rPr>
          <w:i/>
          <w:iCs/>
          <w:color w:val="FF0000"/>
        </w:rPr>
        <w:t xml:space="preserve">  What about employees’ private medical information?  </w:t>
      </w:r>
    </w:p>
    <w:p w14:paraId="47F89BD7" w14:textId="06061F82" w:rsidR="00524B75" w:rsidRPr="00AF525D" w:rsidRDefault="00856963" w:rsidP="00AF525D">
      <w:pPr>
        <w:pStyle w:val="ListParagraph"/>
        <w:numPr>
          <w:ilvl w:val="1"/>
          <w:numId w:val="16"/>
        </w:numPr>
        <w:spacing w:after="0"/>
        <w:ind w:left="1080"/>
        <w:contextualSpacing w:val="0"/>
        <w:jc w:val="both"/>
      </w:pPr>
      <w:r w:rsidRPr="00856963">
        <w:t xml:space="preserve">Supervisors do </w:t>
      </w:r>
      <w:r w:rsidRPr="00AF525D">
        <w:t>not</w:t>
      </w:r>
      <w:r w:rsidRPr="00856963">
        <w:t xml:space="preserve"> need </w:t>
      </w:r>
      <w:r>
        <w:t xml:space="preserve">to inform IDPH of COVID-19 cases; IDPH will be informed of such </w:t>
      </w:r>
      <w:r w:rsidR="00965BA7">
        <w:t xml:space="preserve">laboratory-confirmed </w:t>
      </w:r>
      <w:r>
        <w:t xml:space="preserve">cases by </w:t>
      </w:r>
      <w:r w:rsidR="00965BA7">
        <w:t xml:space="preserve">private laboratories </w:t>
      </w:r>
      <w:r w:rsidR="00BF49CD">
        <w:t xml:space="preserve">or </w:t>
      </w:r>
      <w:r w:rsidR="00965BA7">
        <w:t xml:space="preserve">IDPH </w:t>
      </w:r>
      <w:r w:rsidR="00BF49CD">
        <w:t>L</w:t>
      </w:r>
      <w:r w:rsidR="00965BA7">
        <w:t>aborator</w:t>
      </w:r>
      <w:r w:rsidR="00BF49CD">
        <w:t>ies</w:t>
      </w:r>
      <w:r w:rsidR="00965BA7">
        <w:t xml:space="preserve">.  </w:t>
      </w:r>
    </w:p>
    <w:p w14:paraId="42EBE18C" w14:textId="220403B0" w:rsidR="00AF525D" w:rsidRDefault="00AF525D" w:rsidP="00D6043C">
      <w:pPr>
        <w:pStyle w:val="ListParagraph"/>
        <w:numPr>
          <w:ilvl w:val="1"/>
          <w:numId w:val="16"/>
        </w:numPr>
        <w:spacing w:after="0"/>
        <w:ind w:left="1080"/>
        <w:contextualSpacing w:val="0"/>
        <w:jc w:val="both"/>
      </w:pPr>
      <w:r w:rsidRPr="00AF525D">
        <w:t xml:space="preserve">When dealing with employee medical information, employers, including supervisors, have a general duty of confidentiality. </w:t>
      </w:r>
      <w:r>
        <w:t xml:space="preserve"> </w:t>
      </w:r>
      <w:r w:rsidRPr="00AF525D">
        <w:t>As such, supervisors should not discuss an employee’s medical information with anyone other than the supervisor’s chain-of-command, HR</w:t>
      </w:r>
      <w:r>
        <w:t>,</w:t>
      </w:r>
      <w:r w:rsidRPr="00AF525D">
        <w:t xml:space="preserve"> or Labor Relations.  An employee’s medical information should be kept in the utmost confidence and only discussed as needed for legitimate business reasons.</w:t>
      </w:r>
      <w:r>
        <w:t xml:space="preserve">  </w:t>
      </w:r>
    </w:p>
    <w:p w14:paraId="0F0E2FD0" w14:textId="74A6A563" w:rsidR="00D6043C" w:rsidRPr="00AF525D" w:rsidRDefault="00D6043C" w:rsidP="00AF525D">
      <w:pPr>
        <w:pStyle w:val="ListParagraph"/>
        <w:numPr>
          <w:ilvl w:val="1"/>
          <w:numId w:val="16"/>
        </w:numPr>
        <w:spacing w:after="240"/>
        <w:ind w:left="1080"/>
        <w:contextualSpacing w:val="0"/>
        <w:jc w:val="both"/>
      </w:pPr>
      <w:r>
        <w:t xml:space="preserve">It is public health officials – not supervisors – who should alert co-workers </w:t>
      </w:r>
      <w:r w:rsidR="000E0AD8">
        <w:t>about exposure</w:t>
      </w:r>
      <w:r>
        <w:t xml:space="preserve">. </w:t>
      </w:r>
    </w:p>
    <w:p w14:paraId="362A0402" w14:textId="64A7C686" w:rsidR="00AF525D" w:rsidRPr="00AF525D" w:rsidRDefault="00AF525D" w:rsidP="00FA5D28">
      <w:pPr>
        <w:pStyle w:val="ListParagraph"/>
        <w:numPr>
          <w:ilvl w:val="0"/>
          <w:numId w:val="16"/>
        </w:numPr>
        <w:ind w:left="3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If an employee fears they have been exposed to COVID-19, what should they do?  </w:t>
      </w:r>
    </w:p>
    <w:p w14:paraId="66016318" w14:textId="180E16C4" w:rsidR="00962F7A" w:rsidRDefault="00962F7A" w:rsidP="00962F7A">
      <w:pPr>
        <w:pStyle w:val="ListParagraph"/>
        <w:numPr>
          <w:ilvl w:val="1"/>
          <w:numId w:val="16"/>
        </w:numPr>
        <w:spacing w:after="0"/>
        <w:ind w:left="1080"/>
        <w:contextualSpacing w:val="0"/>
        <w:jc w:val="both"/>
      </w:pPr>
      <w:r w:rsidRPr="000133FA">
        <w:t xml:space="preserve">If </w:t>
      </w:r>
      <w:r>
        <w:t>an employee has</w:t>
      </w:r>
      <w:r w:rsidRPr="000133FA">
        <w:t xml:space="preserve"> had </w:t>
      </w:r>
      <w:r>
        <w:rPr>
          <w:u w:val="single"/>
        </w:rPr>
        <w:t>close contact</w:t>
      </w:r>
      <w:r w:rsidRPr="000133FA">
        <w:t xml:space="preserve"> with a confirmed case of COVID-19</w:t>
      </w:r>
      <w:r>
        <w:t>, the employee</w:t>
      </w:r>
      <w:r w:rsidR="00295082">
        <w:t xml:space="preserve"> will receive instructions from the local health department about what work</w:t>
      </w:r>
      <w:r w:rsidR="00B355AF">
        <w:t>,</w:t>
      </w:r>
      <w:r w:rsidR="002925C9">
        <w:t xml:space="preserve"> </w:t>
      </w:r>
      <w:r w:rsidR="00295082">
        <w:t>movement restrictions</w:t>
      </w:r>
      <w:r w:rsidR="00B355AF">
        <w:t>,</w:t>
      </w:r>
      <w:r w:rsidR="00295082">
        <w:t xml:space="preserve"> and monitoring are required.</w:t>
      </w:r>
      <w:r w:rsidR="00B215C4">
        <w:t xml:space="preserve"> </w:t>
      </w:r>
    </w:p>
    <w:p w14:paraId="6F8C1E9D" w14:textId="5AFF26A7" w:rsidR="00807DD3" w:rsidRPr="00AF525D" w:rsidRDefault="00807DD3" w:rsidP="00962F7A">
      <w:pPr>
        <w:pStyle w:val="ListParagraph"/>
        <w:numPr>
          <w:ilvl w:val="1"/>
          <w:numId w:val="16"/>
        </w:numPr>
        <w:spacing w:after="0"/>
        <w:ind w:left="1080"/>
        <w:contextualSpacing w:val="0"/>
        <w:jc w:val="both"/>
      </w:pPr>
      <w:r>
        <w:t xml:space="preserve">If an employee asks you about a potential close contact, you can refer them to the definition in Question </w:t>
      </w:r>
      <w:r w:rsidR="00EB3519">
        <w:t>2</w:t>
      </w:r>
      <w:r>
        <w:t xml:space="preserve"> and advise them to call their </w:t>
      </w:r>
      <w:r w:rsidR="00EB3519">
        <w:t xml:space="preserve">medical provider or </w:t>
      </w:r>
      <w:r>
        <w:t>local health department for further instruction.</w:t>
      </w:r>
    </w:p>
    <w:p w14:paraId="35119730" w14:textId="77777777" w:rsidR="000E0AD8" w:rsidRDefault="000E0AD8" w:rsidP="000E0AD8">
      <w:pPr>
        <w:pStyle w:val="ListParagraph"/>
        <w:ind w:left="360"/>
        <w:jc w:val="both"/>
      </w:pPr>
    </w:p>
    <w:p w14:paraId="03C2B95B" w14:textId="488F1B28" w:rsidR="00CC0CB8" w:rsidRPr="00CC0CB8" w:rsidRDefault="00CC0CB8" w:rsidP="00FA5D28">
      <w:pPr>
        <w:pStyle w:val="ListParagraph"/>
        <w:numPr>
          <w:ilvl w:val="0"/>
          <w:numId w:val="16"/>
        </w:numPr>
        <w:ind w:left="360"/>
        <w:jc w:val="both"/>
      </w:pPr>
      <w:r>
        <w:rPr>
          <w:i/>
          <w:iCs/>
          <w:color w:val="FF0000"/>
        </w:rPr>
        <w:t>What is social distancing?</w:t>
      </w:r>
    </w:p>
    <w:p w14:paraId="04E9D755" w14:textId="0B19F30D" w:rsidR="00CC0CB8" w:rsidRPr="00CC0CB8" w:rsidRDefault="00CC0CB8" w:rsidP="00FA5D28">
      <w:pPr>
        <w:pStyle w:val="ListParagraph"/>
        <w:numPr>
          <w:ilvl w:val="1"/>
          <w:numId w:val="16"/>
        </w:numPr>
        <w:spacing w:after="240"/>
        <w:ind w:left="1080"/>
        <w:contextualSpacing w:val="0"/>
        <w:jc w:val="both"/>
      </w:pPr>
      <w:r w:rsidRPr="00CC0CB8">
        <w:rPr>
          <w:iCs/>
        </w:rPr>
        <w:t>Social distancing me</w:t>
      </w:r>
      <w:r w:rsidRPr="000133FA">
        <w:t>ans remaining out of community settings, avoiding public transportation (</w:t>
      </w:r>
      <w:r>
        <w:t>such as</w:t>
      </w:r>
      <w:r w:rsidRPr="000133FA">
        <w:t xml:space="preserve"> bus</w:t>
      </w:r>
      <w:r w:rsidR="00E06694">
        <w:t>es,</w:t>
      </w:r>
      <w:r w:rsidRPr="000133FA">
        <w:t xml:space="preserve"> subway</w:t>
      </w:r>
      <w:r w:rsidR="00E06694">
        <w:t>s</w:t>
      </w:r>
      <w:r w:rsidRPr="000133FA">
        <w:t>, taxi</w:t>
      </w:r>
      <w:r w:rsidR="00E06694">
        <w:t>s</w:t>
      </w:r>
      <w:r w:rsidRPr="000133FA">
        <w:t>, ride shar</w:t>
      </w:r>
      <w:r w:rsidR="00E06694">
        <w:t>ing</w:t>
      </w:r>
      <w:r w:rsidRPr="000133FA">
        <w:t>, train</w:t>
      </w:r>
      <w:r w:rsidR="00E06694">
        <w:t>s</w:t>
      </w:r>
      <w:r w:rsidRPr="000133FA">
        <w:t xml:space="preserve">), and maintaining </w:t>
      </w:r>
      <w:r w:rsidR="00E06694">
        <w:t xml:space="preserve">at least 6 feet in </w:t>
      </w:r>
      <w:r w:rsidRPr="000133FA">
        <w:t xml:space="preserve">distance from others.   </w:t>
      </w:r>
      <w:r w:rsidR="000F1CED">
        <w:t xml:space="preserve">Public health guidance </w:t>
      </w:r>
      <w:r w:rsidR="00AF525D">
        <w:t xml:space="preserve">suggests </w:t>
      </w:r>
      <w:r w:rsidR="000F1CED">
        <w:t>that people who can stay home do stay home as much as possible.</w:t>
      </w:r>
      <w:r w:rsidR="0070529C">
        <w:t xml:space="preserve">  </w:t>
      </w:r>
    </w:p>
    <w:p w14:paraId="0656FC58" w14:textId="1C42A2AF" w:rsidR="00E06694" w:rsidRPr="00E06694" w:rsidRDefault="000978B5" w:rsidP="00FA5D28">
      <w:pPr>
        <w:pStyle w:val="ListParagraph"/>
        <w:numPr>
          <w:ilvl w:val="0"/>
          <w:numId w:val="16"/>
        </w:numPr>
        <w:ind w:left="360"/>
        <w:jc w:val="both"/>
      </w:pPr>
      <w:r>
        <w:rPr>
          <w:i/>
          <w:iCs/>
          <w:color w:val="FF0000"/>
        </w:rPr>
        <w:t xml:space="preserve">What is the </w:t>
      </w:r>
      <w:r w:rsidR="00E06694">
        <w:rPr>
          <w:i/>
          <w:iCs/>
          <w:color w:val="FF0000"/>
        </w:rPr>
        <w:t>contact</w:t>
      </w:r>
      <w:r>
        <w:rPr>
          <w:i/>
          <w:iCs/>
          <w:color w:val="FF0000"/>
        </w:rPr>
        <w:t xml:space="preserve"> information for</w:t>
      </w:r>
      <w:r w:rsidR="00E06694">
        <w:rPr>
          <w:i/>
          <w:iCs/>
          <w:color w:val="FF0000"/>
        </w:rPr>
        <w:t xml:space="preserve"> the Illinois Department of Public Health?</w:t>
      </w:r>
    </w:p>
    <w:p w14:paraId="0F2EE764" w14:textId="24E4F11B" w:rsidR="00E06694" w:rsidRPr="000133FA" w:rsidRDefault="00E06694" w:rsidP="00FA5D28">
      <w:pPr>
        <w:pStyle w:val="ListParagraph"/>
        <w:numPr>
          <w:ilvl w:val="1"/>
          <w:numId w:val="16"/>
        </w:numPr>
        <w:spacing w:after="240"/>
        <w:contextualSpacing w:val="0"/>
        <w:jc w:val="both"/>
      </w:pPr>
      <w:r w:rsidRPr="000133FA">
        <w:t xml:space="preserve">Call the IDPH Hotline at 1-800-889-3931 or </w:t>
      </w:r>
      <w:r>
        <w:t>e</w:t>
      </w:r>
      <w:r w:rsidRPr="000133FA">
        <w:t xml:space="preserve">mail </w:t>
      </w:r>
      <w:hyperlink r:id="rId8" w:history="1">
        <w:r w:rsidRPr="000133FA">
          <w:rPr>
            <w:rStyle w:val="Hyperlink"/>
          </w:rPr>
          <w:t>dph.sick@illinois.gov</w:t>
        </w:r>
      </w:hyperlink>
      <w:r w:rsidRPr="000133FA">
        <w:t xml:space="preserve">.  </w:t>
      </w:r>
    </w:p>
    <w:p w14:paraId="2AD30EE0" w14:textId="26B87294" w:rsidR="00E06694" w:rsidRPr="00E06694" w:rsidRDefault="00E06694" w:rsidP="00FA5D28">
      <w:pPr>
        <w:pStyle w:val="ListParagraph"/>
        <w:numPr>
          <w:ilvl w:val="0"/>
          <w:numId w:val="16"/>
        </w:numPr>
        <w:ind w:left="360"/>
        <w:jc w:val="both"/>
      </w:pPr>
      <w:r>
        <w:rPr>
          <w:i/>
          <w:iCs/>
          <w:color w:val="FF0000"/>
        </w:rPr>
        <w:t xml:space="preserve">Where can </w:t>
      </w:r>
      <w:r w:rsidR="000978B5">
        <w:rPr>
          <w:i/>
          <w:iCs/>
          <w:color w:val="FF0000"/>
        </w:rPr>
        <w:t>an employee or supervisor</w:t>
      </w:r>
      <w:r>
        <w:rPr>
          <w:i/>
          <w:iCs/>
          <w:color w:val="FF0000"/>
        </w:rPr>
        <w:t xml:space="preserve"> access more information about COVID-19?</w:t>
      </w:r>
    </w:p>
    <w:p w14:paraId="3E514359" w14:textId="1551FE93" w:rsidR="00E06694" w:rsidRDefault="00E06694" w:rsidP="00FA5D28">
      <w:pPr>
        <w:pStyle w:val="ListParagraph"/>
        <w:numPr>
          <w:ilvl w:val="1"/>
          <w:numId w:val="16"/>
        </w:numPr>
        <w:jc w:val="both"/>
      </w:pPr>
      <w:r w:rsidRPr="000133FA">
        <w:t>IDPH’s</w:t>
      </w:r>
      <w:r>
        <w:t xml:space="preserve"> COVID-19</w:t>
      </w:r>
      <w:r w:rsidRPr="000133FA">
        <w:t xml:space="preserve"> </w:t>
      </w:r>
      <w:hyperlink r:id="rId9" w:history="1">
        <w:r>
          <w:rPr>
            <w:rStyle w:val="Hyperlink"/>
          </w:rPr>
          <w:t>FAQ</w:t>
        </w:r>
      </w:hyperlink>
      <w:r w:rsidRPr="000133FA">
        <w:t>.</w:t>
      </w:r>
    </w:p>
    <w:p w14:paraId="641188DF" w14:textId="77777777" w:rsidR="00E06694" w:rsidRDefault="00E06694" w:rsidP="00FA5D28">
      <w:pPr>
        <w:pStyle w:val="ListParagraph"/>
        <w:numPr>
          <w:ilvl w:val="1"/>
          <w:numId w:val="16"/>
        </w:numPr>
        <w:jc w:val="both"/>
      </w:pPr>
      <w:r>
        <w:t xml:space="preserve">CDC Interim </w:t>
      </w:r>
      <w:hyperlink r:id="rId10" w:history="1">
        <w:r w:rsidRPr="00854D09">
          <w:rPr>
            <w:rStyle w:val="Hyperlink"/>
          </w:rPr>
          <w:t>Guidance</w:t>
        </w:r>
      </w:hyperlink>
      <w:r>
        <w:t xml:space="preserve"> for Risk Assessment of COVID-19.</w:t>
      </w:r>
    </w:p>
    <w:p w14:paraId="627EC8CC" w14:textId="0174963D" w:rsidR="00E06694" w:rsidRPr="000133FA" w:rsidRDefault="00E06694" w:rsidP="00FA5D28">
      <w:pPr>
        <w:pStyle w:val="ListParagraph"/>
        <w:numPr>
          <w:ilvl w:val="1"/>
          <w:numId w:val="16"/>
        </w:numPr>
        <w:jc w:val="both"/>
      </w:pPr>
      <w:r w:rsidRPr="000133FA">
        <w:t>Monitor for illness using the</w:t>
      </w:r>
      <w:r w:rsidR="0070529C">
        <w:t xml:space="preserve"> HCW</w:t>
      </w:r>
      <w:r w:rsidRPr="000133FA">
        <w:t xml:space="preserve"> </w:t>
      </w:r>
      <w:hyperlink r:id="rId11" w:history="1">
        <w:r w:rsidRPr="000133FA">
          <w:rPr>
            <w:rStyle w:val="Hyperlink"/>
          </w:rPr>
          <w:t>Employee Monitoring Tool</w:t>
        </w:r>
      </w:hyperlink>
      <w:r>
        <w:rPr>
          <w:rStyle w:val="Hyperlink"/>
        </w:rPr>
        <w:t>.</w:t>
      </w:r>
    </w:p>
    <w:p w14:paraId="5CBBE1A1" w14:textId="0C66FFB5" w:rsidR="00962F7A" w:rsidRDefault="00E06694" w:rsidP="000E0AD8">
      <w:pPr>
        <w:pStyle w:val="ListParagraph"/>
        <w:numPr>
          <w:ilvl w:val="1"/>
          <w:numId w:val="16"/>
        </w:numPr>
        <w:jc w:val="both"/>
      </w:pPr>
      <w:r w:rsidRPr="000133FA">
        <w:t xml:space="preserve">Evaluate for COVID-19 against the </w:t>
      </w:r>
      <w:hyperlink r:id="rId12" w:history="1">
        <w:r w:rsidRPr="000133FA">
          <w:rPr>
            <w:rStyle w:val="Hyperlink"/>
          </w:rPr>
          <w:t>COVID-19 Testing Decision Matrix</w:t>
        </w:r>
      </w:hyperlink>
      <w:r w:rsidRPr="000133FA">
        <w:t>.</w:t>
      </w:r>
    </w:p>
    <w:p w14:paraId="6D279224" w14:textId="77777777" w:rsidR="002925C9" w:rsidRDefault="002925C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4CE2BB8" w14:textId="36156099" w:rsidR="00962F7A" w:rsidRPr="000E0AD8" w:rsidRDefault="00962F7A" w:rsidP="00962F7A">
      <w:pPr>
        <w:jc w:val="both"/>
        <w:rPr>
          <w:sz w:val="24"/>
          <w:szCs w:val="24"/>
        </w:rPr>
      </w:pPr>
      <w:r w:rsidRPr="000E0AD8">
        <w:rPr>
          <w:sz w:val="24"/>
          <w:szCs w:val="24"/>
          <w:u w:val="single"/>
        </w:rPr>
        <w:t>Exhibit 1 – Risk Categories</w:t>
      </w:r>
      <w:r w:rsidRPr="000E0AD8">
        <w:rPr>
          <w:sz w:val="24"/>
          <w:szCs w:val="24"/>
        </w:rPr>
        <w:t xml:space="preserve"> </w:t>
      </w:r>
    </w:p>
    <w:p w14:paraId="3DD722DF" w14:textId="1B690846" w:rsidR="00962F7A" w:rsidRPr="00962F7A" w:rsidRDefault="00962F7A" w:rsidP="00962F7A">
      <w:pPr>
        <w:jc w:val="both"/>
        <w:rPr>
          <w:i/>
          <w:iCs/>
        </w:rPr>
      </w:pPr>
      <w:r w:rsidRPr="00962F7A">
        <w:rPr>
          <w:i/>
          <w:iCs/>
        </w:rPr>
        <w:t>Note – these are interim and subject to change.</w:t>
      </w:r>
    </w:p>
    <w:p w14:paraId="32F46E02" w14:textId="77777777" w:rsidR="00962F7A" w:rsidRDefault="00962F7A" w:rsidP="00962F7A">
      <w:pPr>
        <w:pStyle w:val="ListParagraph"/>
        <w:rPr>
          <w:b/>
        </w:rPr>
      </w:pPr>
      <w:r>
        <w:rPr>
          <w:b/>
        </w:rPr>
        <w:t>Table 1:  Risk Categories for Exposure to Laboratory-Confirmed Cases of COVID-19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600"/>
        <w:gridCol w:w="3775"/>
      </w:tblGrid>
      <w:tr w:rsidR="00962F7A" w14:paraId="1A4FE52A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D2375" w14:textId="77777777" w:rsidR="00962F7A" w:rsidRDefault="00962F7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62C72" w14:textId="77777777" w:rsidR="00962F7A" w:rsidRDefault="00962F7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Geographic (Travel-associated) Exposures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415AA" w14:textId="77777777" w:rsidR="00962F7A" w:rsidRDefault="00962F7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Exposures identified through Contact Investigation</w:t>
            </w:r>
          </w:p>
        </w:tc>
      </w:tr>
      <w:tr w:rsidR="00962F7A" w14:paraId="29374099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3DE6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5887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from Hubei Province, China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0D1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Living in same household as, being an intimate partner of, or providing care in a nonhealthcare setting (such as a home) for a person with symptomatic laboratory-confirmed COVID-19 infection without using recommended precautions for home care and home isolation</w:t>
            </w:r>
          </w:p>
        </w:tc>
      </w:tr>
      <w:tr w:rsidR="00962F7A" w14:paraId="52F4CBE2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EBFF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B3E" w14:textId="77777777" w:rsidR="00962F7A" w:rsidRDefault="00962F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from mainland China outside Hubei Province or Iran</w:t>
            </w:r>
          </w:p>
          <w:p w14:paraId="0423B8B1" w14:textId="77777777" w:rsidR="00962F7A" w:rsidRDefault="00962F7A">
            <w:pPr>
              <w:rPr>
                <w:bCs/>
                <w:sz w:val="20"/>
                <w:szCs w:val="20"/>
              </w:rPr>
            </w:pPr>
          </w:p>
          <w:p w14:paraId="6971167F" w14:textId="77777777" w:rsidR="00962F7A" w:rsidRDefault="00962F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from a country with widespread sustained transmission</w:t>
            </w:r>
          </w:p>
          <w:p w14:paraId="3278E8D2" w14:textId="77777777" w:rsidR="00962F7A" w:rsidRDefault="00962F7A">
            <w:pPr>
              <w:rPr>
                <w:bCs/>
                <w:sz w:val="20"/>
                <w:szCs w:val="20"/>
              </w:rPr>
            </w:pPr>
          </w:p>
          <w:p w14:paraId="63887C3B" w14:textId="77777777" w:rsidR="00962F7A" w:rsidRDefault="00962F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from a country with sustained community transmission</w:t>
            </w:r>
          </w:p>
          <w:p w14:paraId="0612C944" w14:textId="77777777" w:rsidR="00962F7A" w:rsidRDefault="00962F7A">
            <w:pPr>
              <w:rPr>
                <w:bCs/>
                <w:sz w:val="20"/>
                <w:szCs w:val="20"/>
              </w:rPr>
            </w:pPr>
          </w:p>
          <w:p w14:paraId="19BFE369" w14:textId="77777777" w:rsidR="00962F7A" w:rsidRDefault="00C67C95">
            <w:pPr>
              <w:rPr>
                <w:bCs/>
                <w:sz w:val="20"/>
                <w:szCs w:val="20"/>
              </w:rPr>
            </w:pPr>
            <w:hyperlink r:id="rId13" w:history="1">
              <w:r w:rsidR="00962F7A">
                <w:rPr>
                  <w:rStyle w:val="Hyperlink"/>
                  <w:bCs/>
                  <w:sz w:val="20"/>
                  <w:szCs w:val="20"/>
                </w:rPr>
                <w:t>Country-level risk classifications</w:t>
              </w:r>
            </w:hyperlink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557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Close contact with a person with symptomatic laboratory-confirmed COVID-19</w:t>
            </w:r>
          </w:p>
          <w:p w14:paraId="70CDBE68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200E99E3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an aircraft, being seated within 6 feet of a traveler with symptomatic laboratory-confirmed COVID-19 infection (distance equals approximately 2 seats in each direction)</w:t>
            </w:r>
          </w:p>
          <w:p w14:paraId="6B3267EA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07C95CAB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Living in same household as, an intimate partner of, or caring for a person in a nonhealthcare setting (such as a homme) to a person with symptomatic laboratory-confirmed COVId-19 infection while consistently using recommended precautions for home care and home isolation</w:t>
            </w:r>
          </w:p>
        </w:tc>
      </w:tr>
      <w:tr w:rsidR="00962F7A" w14:paraId="29E54220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8D0C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C712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from any other country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E2D7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Being the same indoor environment (e.g., a classroom, a hospital waiting room) as a person with symptomatic laboratory-confirmed COVID-19 for a prolonged </w:t>
            </w:r>
            <w:proofErr w:type="gramStart"/>
            <w:r>
              <w:rPr>
                <w:bCs/>
                <w:sz w:val="20"/>
                <w:szCs w:val="20"/>
              </w:rPr>
              <w:t>period of time</w:t>
            </w:r>
            <w:proofErr w:type="gramEnd"/>
            <w:r>
              <w:rPr>
                <w:bCs/>
                <w:sz w:val="20"/>
                <w:szCs w:val="20"/>
              </w:rPr>
              <w:t xml:space="preserve"> but not meeting the definition of close contact</w:t>
            </w:r>
          </w:p>
        </w:tc>
      </w:tr>
      <w:tr w:rsidR="00962F7A" w14:paraId="5A54927D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8E4E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identifiable risk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784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applicable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359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Interactions with a person with symptomatic laboratory-confirmed COVID-19 infection that do not met any of the high-, medium-, low-risk conditions above, such as walking by the person or being briefly in the same room</w:t>
            </w:r>
          </w:p>
        </w:tc>
      </w:tr>
    </w:tbl>
    <w:p w14:paraId="4E4FBEB6" w14:textId="77777777" w:rsidR="00962F7A" w:rsidRDefault="00962F7A">
      <w:r>
        <w:br w:type="page"/>
      </w:r>
    </w:p>
    <w:p w14:paraId="1D5178BD" w14:textId="77777777" w:rsidR="00962F7A" w:rsidRDefault="00962F7A" w:rsidP="00962F7A">
      <w:pPr>
        <w:pStyle w:val="ListParagraph"/>
        <w:rPr>
          <w:b/>
        </w:rPr>
      </w:pPr>
      <w:r>
        <w:rPr>
          <w:b/>
        </w:rPr>
        <w:t>Table 2:  Summary of Contacts of Asymptomatic Exposed to COVID-19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600"/>
        <w:gridCol w:w="3775"/>
      </w:tblGrid>
      <w:tr w:rsidR="00962F7A" w14:paraId="2A9ECECD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1B18B" w14:textId="77777777" w:rsidR="00962F7A" w:rsidRDefault="00962F7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4F4E4" w14:textId="77777777" w:rsidR="00962F7A" w:rsidRDefault="00962F7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Geographic (Travel-associated) Exposures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3AF09" w14:textId="77777777" w:rsidR="00962F7A" w:rsidRDefault="00962F7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Exposures identified through Contact Investigation</w:t>
            </w:r>
          </w:p>
        </w:tc>
      </w:tr>
      <w:tr w:rsidR="00962F7A" w14:paraId="04827607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62D8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02D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Quarantine (voluntary or under public health orders) in a location determined by public health</w:t>
            </w:r>
          </w:p>
          <w:p w14:paraId="4DB551AB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public activities</w:t>
            </w:r>
          </w:p>
          <w:p w14:paraId="400AE65C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Daily active monitoring</w:t>
            </w:r>
          </w:p>
          <w:p w14:paraId="7D343E12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Controlled travel</w:t>
            </w:r>
          </w:p>
          <w:p w14:paraId="583E32E5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65336CDB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C75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Immediate quarantine (or isolate if symptomatic)</w:t>
            </w:r>
          </w:p>
          <w:p w14:paraId="4558C163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Assessment to determine need for medical evaluation</w:t>
            </w:r>
          </w:p>
          <w:p w14:paraId="78FFC53C" w14:textId="77777777" w:rsidR="00962F7A" w:rsidRDefault="00962F7A" w:rsidP="00962F7A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Controlled travel</w:t>
            </w:r>
          </w:p>
          <w:p w14:paraId="073E850A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962F7A" w14:paraId="6078A14F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9029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2F69" w14:textId="77777777" w:rsidR="00962F7A" w:rsidRDefault="00962F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Close contacts:</w:t>
            </w:r>
          </w:p>
          <w:p w14:paraId="2AF8CA07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Recommendation to remain at home or in a comparable setting</w:t>
            </w:r>
          </w:p>
          <w:p w14:paraId="256B4430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Practice social distancing</w:t>
            </w:r>
          </w:p>
          <w:p w14:paraId="1F23B085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Active monitoring</w:t>
            </w:r>
          </w:p>
          <w:p w14:paraId="373791F1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Postpone long-distance travel on commercial conveyances</w:t>
            </w:r>
          </w:p>
          <w:p w14:paraId="69E6AA28" w14:textId="77777777" w:rsidR="00962F7A" w:rsidRDefault="00962F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Travels from Countries with widespread transmission:</w:t>
            </w:r>
          </w:p>
          <w:p w14:paraId="511AB80B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Recommendation to remain at home or in a comparable setting</w:t>
            </w:r>
          </w:p>
          <w:p w14:paraId="09134CF9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Practice social distancing</w:t>
            </w:r>
          </w:p>
          <w:p w14:paraId="447CB12B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Active monitoring</w:t>
            </w:r>
          </w:p>
          <w:p w14:paraId="7EA587BF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Postpone long-distance travel on commercial conveyances</w:t>
            </w:r>
          </w:p>
          <w:p w14:paraId="2F55B561" w14:textId="77777777" w:rsidR="00962F7A" w:rsidRDefault="00962F7A">
            <w:pPr>
              <w:ind w:left="-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from Countries with community transmission</w:t>
            </w:r>
          </w:p>
          <w:p w14:paraId="061C21FC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Practice social distancing</w:t>
            </w:r>
          </w:p>
          <w:p w14:paraId="00506890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-14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Self-observation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0FA4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Self-quarantine (unless symptomatic then self-isolate)</w:t>
            </w:r>
          </w:p>
          <w:p w14:paraId="410CCA51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Seek health advice to determine if medical evaluation is necessary (which should be guided by clinical presentation and diagnostic testing by PUI definition)</w:t>
            </w:r>
          </w:p>
          <w:p w14:paraId="22BA4F15" w14:textId="77777777" w:rsidR="00962F7A" w:rsidRDefault="00962F7A" w:rsidP="00962F7A">
            <w:pPr>
              <w:pStyle w:val="ListParagraph"/>
              <w:numPr>
                <w:ilvl w:val="0"/>
                <w:numId w:val="19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Controlled travel while symptomatic person wearing face mask</w:t>
            </w:r>
          </w:p>
        </w:tc>
      </w:tr>
      <w:tr w:rsidR="00962F7A" w14:paraId="51E429DC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34E2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8C22" w14:textId="77777777" w:rsidR="00962F7A" w:rsidRDefault="00962F7A" w:rsidP="00962F7A">
            <w:pPr>
              <w:pStyle w:val="ListParagraph"/>
              <w:numPr>
                <w:ilvl w:val="0"/>
                <w:numId w:val="20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restriction on movement</w:t>
            </w:r>
          </w:p>
          <w:p w14:paraId="499AB983" w14:textId="77777777" w:rsidR="00962F7A" w:rsidRDefault="00962F7A" w:rsidP="00962F7A">
            <w:pPr>
              <w:pStyle w:val="ListParagraph"/>
              <w:numPr>
                <w:ilvl w:val="0"/>
                <w:numId w:val="20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Self-observation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A32A" w14:textId="77777777" w:rsidR="00962F7A" w:rsidRDefault="00962F7A" w:rsidP="00962F7A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Self-quarantine, social distancing</w:t>
            </w:r>
          </w:p>
          <w:p w14:paraId="523F7486" w14:textId="77777777" w:rsidR="00962F7A" w:rsidRDefault="00962F7A" w:rsidP="00962F7A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Seek health advice to determine if medical evaluation is necessary (which should be guided by clinical presentation and diagnostic testing by PUI definition)</w:t>
            </w:r>
          </w:p>
          <w:p w14:paraId="67661297" w14:textId="77777777" w:rsidR="00962F7A" w:rsidRDefault="00962F7A" w:rsidP="00962F7A">
            <w:pPr>
              <w:pStyle w:val="ListParagraph"/>
              <w:numPr>
                <w:ilvl w:val="0"/>
                <w:numId w:val="20"/>
              </w:numPr>
              <w:ind w:left="166" w:hanging="1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Post-pone commercial conveyances until no longer symptomatic</w:t>
            </w:r>
          </w:p>
        </w:tc>
      </w:tr>
      <w:tr w:rsidR="00962F7A" w14:paraId="2F966A3E" w14:textId="77777777" w:rsidTr="00962F7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B231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identifiable risk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067" w14:textId="77777777" w:rsidR="00962F7A" w:rsidRDefault="00962F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7A6" w14:textId="77777777" w:rsidR="00962F7A" w:rsidRDefault="00962F7A" w:rsidP="00962F7A">
            <w:pPr>
              <w:pStyle w:val="ListParagraph"/>
              <w:numPr>
                <w:ilvl w:val="0"/>
                <w:numId w:val="21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Self-quarantine, social distancing</w:t>
            </w:r>
          </w:p>
          <w:p w14:paraId="3041090B" w14:textId="77777777" w:rsidR="00962F7A" w:rsidRDefault="00962F7A" w:rsidP="00962F7A">
            <w:pPr>
              <w:pStyle w:val="ListParagraph"/>
              <w:numPr>
                <w:ilvl w:val="0"/>
                <w:numId w:val="21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Seek health advice to determine if medical evaluation is necessary (which should be guided by clinical presentation and diagnostic testing by PUI definition)</w:t>
            </w:r>
          </w:p>
          <w:p w14:paraId="4A04A763" w14:textId="77777777" w:rsidR="00962F7A" w:rsidRDefault="00962F7A" w:rsidP="00962F7A">
            <w:pPr>
              <w:pStyle w:val="ListParagraph"/>
              <w:numPr>
                <w:ilvl w:val="0"/>
                <w:numId w:val="21"/>
              </w:numPr>
              <w:ind w:left="16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Post-pone commercial conveyances until no longer symptomatic</w:t>
            </w:r>
          </w:p>
        </w:tc>
      </w:tr>
    </w:tbl>
    <w:p w14:paraId="70E6B6BA" w14:textId="16650693" w:rsidR="00A07F2A" w:rsidRDefault="00D6043C" w:rsidP="00D6043C">
      <w:pPr>
        <w:pStyle w:val="ListParagrap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Note:</w:t>
      </w:r>
      <w:r>
        <w:rPr>
          <w:sz w:val="18"/>
          <w:szCs w:val="18"/>
        </w:rPr>
        <w:t xml:space="preserve"> The public health management recommendations made above are primarily intended for jurisdictions not experiencing sustained community transmission. In jurisdictions not experiencing sustained community transmission, CDC recommends that post-exposure public health management for asymptomatic exposed individuals continue until 14 days after the last potential exposure; however, these decisions should be made based on the local situation, available resources, and competing priorities. These factors should also guide decisions about managing symptomatic exposed individuals.</w:t>
      </w:r>
    </w:p>
    <w:p w14:paraId="3CB9EEDF" w14:textId="77777777" w:rsidR="00A07F2A" w:rsidRDefault="00A07F2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1521E67" w14:textId="6EA2CD6F" w:rsidR="00962F7A" w:rsidRPr="000E0AD8" w:rsidRDefault="00A07F2A" w:rsidP="00D6043C">
      <w:pPr>
        <w:pStyle w:val="ListParagraph"/>
        <w:rPr>
          <w:sz w:val="24"/>
          <w:szCs w:val="24"/>
        </w:rPr>
      </w:pPr>
      <w:r w:rsidRPr="000E0AD8">
        <w:rPr>
          <w:sz w:val="24"/>
          <w:szCs w:val="24"/>
        </w:rPr>
        <w:t>Exhibit 2:  Releasing Cases and Contacts</w:t>
      </w:r>
    </w:p>
    <w:p w14:paraId="58AEFAE1" w14:textId="4BDB5DA8" w:rsidR="00A07F2A" w:rsidRDefault="00A07F2A" w:rsidP="00D6043C">
      <w:pPr>
        <w:pStyle w:val="ListParagraph"/>
        <w:rPr>
          <w:sz w:val="18"/>
          <w:szCs w:val="18"/>
        </w:rPr>
      </w:pPr>
    </w:p>
    <w:p w14:paraId="39A4E0A8" w14:textId="1F003643" w:rsidR="00A07F2A" w:rsidRDefault="0070529C" w:rsidP="00D6043C">
      <w:pPr>
        <w:pStyle w:val="ListParagraph"/>
        <w:rPr>
          <w:sz w:val="18"/>
          <w:szCs w:val="18"/>
        </w:rPr>
      </w:pPr>
      <w:r w:rsidRPr="00DE28D3">
        <w:rPr>
          <w:noProof/>
          <w:sz w:val="24"/>
          <w:szCs w:val="24"/>
        </w:rPr>
        <w:drawing>
          <wp:inline distT="0" distB="0" distL="0" distR="0" wp14:anchorId="662E5E83" wp14:editId="1BECADF2">
            <wp:extent cx="5029636" cy="3886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38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A4F6C" w14:textId="09A5A586" w:rsidR="007A4402" w:rsidRDefault="007A4402" w:rsidP="00D6043C">
      <w:pPr>
        <w:pStyle w:val="ListParagraph"/>
        <w:rPr>
          <w:sz w:val="18"/>
          <w:szCs w:val="18"/>
        </w:rPr>
      </w:pPr>
    </w:p>
    <w:p w14:paraId="32CBBD81" w14:textId="684AE79B" w:rsidR="007A4402" w:rsidRDefault="007A440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A4261D" w14:textId="4995EE2B" w:rsidR="007A4402" w:rsidRPr="000E0AD8" w:rsidRDefault="007A4402" w:rsidP="00D6043C">
      <w:pPr>
        <w:pStyle w:val="ListParagraph"/>
        <w:rPr>
          <w:sz w:val="24"/>
          <w:szCs w:val="24"/>
        </w:rPr>
      </w:pPr>
      <w:r w:rsidRPr="000E0AD8">
        <w:rPr>
          <w:sz w:val="24"/>
          <w:szCs w:val="24"/>
        </w:rPr>
        <w:t>Exhibit 3:  Who Should I Call About COVID-19?</w:t>
      </w:r>
    </w:p>
    <w:p w14:paraId="17DED372" w14:textId="5A627E80" w:rsidR="007A4402" w:rsidRDefault="007A4402" w:rsidP="00D6043C">
      <w:pPr>
        <w:pStyle w:val="ListParagraph"/>
        <w:rPr>
          <w:sz w:val="18"/>
          <w:szCs w:val="18"/>
        </w:rPr>
      </w:pPr>
    </w:p>
    <w:p w14:paraId="0F9BD649" w14:textId="6C00ED89" w:rsidR="007A4402" w:rsidRPr="00D6043C" w:rsidRDefault="007A4402" w:rsidP="00D6043C">
      <w:pPr>
        <w:pStyle w:val="ListParagraph"/>
        <w:rPr>
          <w:sz w:val="18"/>
          <w:szCs w:val="18"/>
        </w:rPr>
      </w:pPr>
      <w:r w:rsidRPr="007A4402">
        <w:rPr>
          <w:noProof/>
          <w:sz w:val="18"/>
          <w:szCs w:val="18"/>
        </w:rPr>
        <w:drawing>
          <wp:inline distT="0" distB="0" distL="0" distR="0" wp14:anchorId="7AA59A3A" wp14:editId="3E1A8DD8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402" w:rsidRPr="00D6043C" w:rsidSect="009F1C8B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586B" w14:textId="77777777" w:rsidR="00C67C95" w:rsidRDefault="00C67C95" w:rsidP="00C1356A">
      <w:pPr>
        <w:spacing w:after="0" w:line="240" w:lineRule="auto"/>
      </w:pPr>
      <w:r>
        <w:separator/>
      </w:r>
    </w:p>
  </w:endnote>
  <w:endnote w:type="continuationSeparator" w:id="0">
    <w:p w14:paraId="1180AB37" w14:textId="77777777" w:rsidR="00C67C95" w:rsidRDefault="00C67C95" w:rsidP="00C1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53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BDBA1" w14:textId="643236D6" w:rsidR="00207E57" w:rsidRDefault="00207E57" w:rsidP="00D578E0">
        <w:pPr>
          <w:pStyle w:val="Footer"/>
        </w:pPr>
        <w:r>
          <w:t>Version 1.0 (03.1</w:t>
        </w:r>
        <w:r w:rsidR="0070529C">
          <w:t>8</w:t>
        </w:r>
        <w:r>
          <w:t>.2020)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57686" w14:textId="77777777" w:rsidR="00207E57" w:rsidRDefault="00207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13EE" w14:textId="77777777" w:rsidR="00C67C95" w:rsidRDefault="00C67C95" w:rsidP="00C1356A">
      <w:pPr>
        <w:spacing w:after="0" w:line="240" w:lineRule="auto"/>
      </w:pPr>
      <w:r>
        <w:separator/>
      </w:r>
    </w:p>
  </w:footnote>
  <w:footnote w:type="continuationSeparator" w:id="0">
    <w:p w14:paraId="70ABFA45" w14:textId="77777777" w:rsidR="00C67C95" w:rsidRDefault="00C67C95" w:rsidP="00C1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EB7E" w14:textId="77777777" w:rsidR="00207E57" w:rsidRDefault="00207E57" w:rsidP="009F1C8B">
    <w:pPr>
      <w:pStyle w:val="Header"/>
    </w:pPr>
    <w:r>
      <w:tab/>
    </w:r>
    <w:r w:rsidRPr="00C1356A">
      <w:tab/>
    </w:r>
  </w:p>
  <w:p w14:paraId="6B0927F3" w14:textId="77777777" w:rsidR="00207E57" w:rsidRDefault="00207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9144" w14:textId="3FA5B19C" w:rsidR="00207E57" w:rsidRDefault="00207E57" w:rsidP="009F1C8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048A5F" wp14:editId="773D0A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8969" cy="733425"/>
          <wp:effectExtent l="0" t="0" r="3810" b="0"/>
          <wp:wrapTight wrapText="bothSides">
            <wp:wrapPolygon edited="0">
              <wp:start x="0" y="0"/>
              <wp:lineTo x="0" y="20758"/>
              <wp:lineTo x="21460" y="20758"/>
              <wp:lineTo x="214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969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Guidance for Risk Assessment </w:t>
    </w:r>
  </w:p>
  <w:p w14:paraId="585BE758" w14:textId="73DF012E" w:rsidR="00207E57" w:rsidRDefault="00207E57" w:rsidP="009F1C8B">
    <w:pPr>
      <w:pStyle w:val="Header"/>
    </w:pPr>
    <w:r>
      <w:tab/>
    </w:r>
    <w:r>
      <w:tab/>
      <w:t>COVID-19</w:t>
    </w:r>
  </w:p>
  <w:p w14:paraId="58C70EBB" w14:textId="75B579A0" w:rsidR="00207E57" w:rsidRDefault="00207E57" w:rsidP="009F1C8B">
    <w:pPr>
      <w:pStyle w:val="Header"/>
    </w:pPr>
    <w:r>
      <w:tab/>
    </w:r>
    <w:r>
      <w:tab/>
      <w:t>March 1</w:t>
    </w:r>
    <w:r w:rsidR="002925C9">
      <w:t>8</w:t>
    </w:r>
    <w:r>
      <w:t>, 2020</w:t>
    </w:r>
  </w:p>
  <w:p w14:paraId="678D0E1F" w14:textId="77777777" w:rsidR="00207E57" w:rsidRDefault="0020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735"/>
    <w:multiLevelType w:val="hybridMultilevel"/>
    <w:tmpl w:val="0C8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259"/>
    <w:multiLevelType w:val="hybridMultilevel"/>
    <w:tmpl w:val="40CE984A"/>
    <w:lvl w:ilvl="0" w:tplc="7708E5E8">
      <w:start w:val="2"/>
      <w:numFmt w:val="decimal"/>
      <w:lvlText w:val="%1."/>
      <w:lvlJc w:val="left"/>
      <w:pPr>
        <w:ind w:left="5130" w:hanging="360"/>
      </w:pPr>
      <w:rPr>
        <w:rFonts w:hint="default"/>
        <w:i w:val="0"/>
        <w:iCs w:val="0"/>
        <w:color w:val="auto"/>
      </w:rPr>
    </w:lvl>
    <w:lvl w:ilvl="1" w:tplc="E0B07242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83B"/>
    <w:multiLevelType w:val="hybridMultilevel"/>
    <w:tmpl w:val="15326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46738A"/>
    <w:multiLevelType w:val="hybridMultilevel"/>
    <w:tmpl w:val="0C2425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3E4E"/>
    <w:multiLevelType w:val="hybridMultilevel"/>
    <w:tmpl w:val="F426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D2B"/>
    <w:multiLevelType w:val="hybridMultilevel"/>
    <w:tmpl w:val="4788B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67710"/>
    <w:multiLevelType w:val="hybridMultilevel"/>
    <w:tmpl w:val="E864C6E2"/>
    <w:lvl w:ilvl="0" w:tplc="79F4E66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AD2"/>
    <w:multiLevelType w:val="hybridMultilevel"/>
    <w:tmpl w:val="39D4D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D3ED8"/>
    <w:multiLevelType w:val="hybridMultilevel"/>
    <w:tmpl w:val="9B68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33A"/>
    <w:multiLevelType w:val="hybridMultilevel"/>
    <w:tmpl w:val="0C08D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72189"/>
    <w:multiLevelType w:val="hybridMultilevel"/>
    <w:tmpl w:val="5B24FE4C"/>
    <w:lvl w:ilvl="0" w:tplc="EFB81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CC5B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A2B67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376"/>
    <w:multiLevelType w:val="hybridMultilevel"/>
    <w:tmpl w:val="C32E6C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474E19"/>
    <w:multiLevelType w:val="hybridMultilevel"/>
    <w:tmpl w:val="B526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5F9F"/>
    <w:multiLevelType w:val="hybridMultilevel"/>
    <w:tmpl w:val="1FD6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B17A6"/>
    <w:multiLevelType w:val="multilevel"/>
    <w:tmpl w:val="D36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51204"/>
    <w:multiLevelType w:val="hybridMultilevel"/>
    <w:tmpl w:val="171005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4269A"/>
    <w:multiLevelType w:val="hybridMultilevel"/>
    <w:tmpl w:val="1B8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  <w:num w:numId="20">
    <w:abstractNumId w:val="0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6A"/>
    <w:rsid w:val="00005007"/>
    <w:rsid w:val="000133FA"/>
    <w:rsid w:val="000235C4"/>
    <w:rsid w:val="0002443E"/>
    <w:rsid w:val="00034008"/>
    <w:rsid w:val="00060495"/>
    <w:rsid w:val="00061CFA"/>
    <w:rsid w:val="00062443"/>
    <w:rsid w:val="0006659C"/>
    <w:rsid w:val="00092834"/>
    <w:rsid w:val="00096E98"/>
    <w:rsid w:val="00096F2A"/>
    <w:rsid w:val="000978B5"/>
    <w:rsid w:val="000A1C7B"/>
    <w:rsid w:val="000A536A"/>
    <w:rsid w:val="000A5453"/>
    <w:rsid w:val="000B173C"/>
    <w:rsid w:val="000C43A1"/>
    <w:rsid w:val="000C5864"/>
    <w:rsid w:val="000C6339"/>
    <w:rsid w:val="000E0AD8"/>
    <w:rsid w:val="000E2BC7"/>
    <w:rsid w:val="000F1CED"/>
    <w:rsid w:val="00103945"/>
    <w:rsid w:val="0011054F"/>
    <w:rsid w:val="00112A7F"/>
    <w:rsid w:val="00115A21"/>
    <w:rsid w:val="00117289"/>
    <w:rsid w:val="0012165B"/>
    <w:rsid w:val="00121FF1"/>
    <w:rsid w:val="00125182"/>
    <w:rsid w:val="001266E8"/>
    <w:rsid w:val="00144BAB"/>
    <w:rsid w:val="001509B6"/>
    <w:rsid w:val="00155DB9"/>
    <w:rsid w:val="001601F1"/>
    <w:rsid w:val="0016367F"/>
    <w:rsid w:val="001853C6"/>
    <w:rsid w:val="00191771"/>
    <w:rsid w:val="001F0866"/>
    <w:rsid w:val="00207E57"/>
    <w:rsid w:val="00214B91"/>
    <w:rsid w:val="00222718"/>
    <w:rsid w:val="00260B1B"/>
    <w:rsid w:val="0027470D"/>
    <w:rsid w:val="00282B81"/>
    <w:rsid w:val="002925C9"/>
    <w:rsid w:val="00295082"/>
    <w:rsid w:val="00297979"/>
    <w:rsid w:val="002B4C7E"/>
    <w:rsid w:val="002D4526"/>
    <w:rsid w:val="002D500E"/>
    <w:rsid w:val="002E16D9"/>
    <w:rsid w:val="002E67C8"/>
    <w:rsid w:val="0032187C"/>
    <w:rsid w:val="003248D4"/>
    <w:rsid w:val="00325C8E"/>
    <w:rsid w:val="0033126B"/>
    <w:rsid w:val="00335804"/>
    <w:rsid w:val="003563DB"/>
    <w:rsid w:val="00361DB1"/>
    <w:rsid w:val="003675B4"/>
    <w:rsid w:val="00380C94"/>
    <w:rsid w:val="003922D5"/>
    <w:rsid w:val="003B06D6"/>
    <w:rsid w:val="003D5288"/>
    <w:rsid w:val="003E3D73"/>
    <w:rsid w:val="003F5BDB"/>
    <w:rsid w:val="0040374C"/>
    <w:rsid w:val="00412D20"/>
    <w:rsid w:val="00417E6A"/>
    <w:rsid w:val="0042626A"/>
    <w:rsid w:val="00442597"/>
    <w:rsid w:val="00445A49"/>
    <w:rsid w:val="00445A65"/>
    <w:rsid w:val="00463C1F"/>
    <w:rsid w:val="0047237B"/>
    <w:rsid w:val="0049306A"/>
    <w:rsid w:val="004B1F95"/>
    <w:rsid w:val="004C1DFE"/>
    <w:rsid w:val="004C7ECD"/>
    <w:rsid w:val="004D1B28"/>
    <w:rsid w:val="004E1413"/>
    <w:rsid w:val="004E5260"/>
    <w:rsid w:val="004F0917"/>
    <w:rsid w:val="00514C44"/>
    <w:rsid w:val="00517568"/>
    <w:rsid w:val="00524B75"/>
    <w:rsid w:val="00525B29"/>
    <w:rsid w:val="00536F1F"/>
    <w:rsid w:val="005479F3"/>
    <w:rsid w:val="00550B3D"/>
    <w:rsid w:val="00554BB8"/>
    <w:rsid w:val="00595695"/>
    <w:rsid w:val="005A075F"/>
    <w:rsid w:val="005B1E4D"/>
    <w:rsid w:val="005B4E81"/>
    <w:rsid w:val="005C199B"/>
    <w:rsid w:val="005D6B7A"/>
    <w:rsid w:val="00610018"/>
    <w:rsid w:val="00610E61"/>
    <w:rsid w:val="00617212"/>
    <w:rsid w:val="00633126"/>
    <w:rsid w:val="00636D58"/>
    <w:rsid w:val="00636F2C"/>
    <w:rsid w:val="00642BF9"/>
    <w:rsid w:val="00645838"/>
    <w:rsid w:val="0064673A"/>
    <w:rsid w:val="0066112A"/>
    <w:rsid w:val="00663D96"/>
    <w:rsid w:val="006722E0"/>
    <w:rsid w:val="00683572"/>
    <w:rsid w:val="00683F73"/>
    <w:rsid w:val="00684894"/>
    <w:rsid w:val="00691C2E"/>
    <w:rsid w:val="006A01C7"/>
    <w:rsid w:val="006A5B70"/>
    <w:rsid w:val="006A7BB0"/>
    <w:rsid w:val="006B3D14"/>
    <w:rsid w:val="006B71BC"/>
    <w:rsid w:val="006C2504"/>
    <w:rsid w:val="006D50D0"/>
    <w:rsid w:val="006E0079"/>
    <w:rsid w:val="006E5BE1"/>
    <w:rsid w:val="0070529C"/>
    <w:rsid w:val="0071103E"/>
    <w:rsid w:val="00734C2B"/>
    <w:rsid w:val="00740672"/>
    <w:rsid w:val="0074091F"/>
    <w:rsid w:val="00741932"/>
    <w:rsid w:val="00747851"/>
    <w:rsid w:val="00751B41"/>
    <w:rsid w:val="007733B7"/>
    <w:rsid w:val="007821F7"/>
    <w:rsid w:val="007A1ED1"/>
    <w:rsid w:val="007A4402"/>
    <w:rsid w:val="007B4071"/>
    <w:rsid w:val="007B7AAB"/>
    <w:rsid w:val="007E0FDE"/>
    <w:rsid w:val="00807DD3"/>
    <w:rsid w:val="0082499F"/>
    <w:rsid w:val="008255C6"/>
    <w:rsid w:val="0083347C"/>
    <w:rsid w:val="00854D09"/>
    <w:rsid w:val="00856963"/>
    <w:rsid w:val="00867ABA"/>
    <w:rsid w:val="00882D98"/>
    <w:rsid w:val="00895706"/>
    <w:rsid w:val="008A085B"/>
    <w:rsid w:val="008C73CF"/>
    <w:rsid w:val="008F2A0F"/>
    <w:rsid w:val="008F46AE"/>
    <w:rsid w:val="008F7DC6"/>
    <w:rsid w:val="00902BD7"/>
    <w:rsid w:val="00903A7E"/>
    <w:rsid w:val="00905ECA"/>
    <w:rsid w:val="0091403F"/>
    <w:rsid w:val="009219C5"/>
    <w:rsid w:val="00936F52"/>
    <w:rsid w:val="00941DC8"/>
    <w:rsid w:val="00962F7A"/>
    <w:rsid w:val="00965BA7"/>
    <w:rsid w:val="00967BD8"/>
    <w:rsid w:val="009740BA"/>
    <w:rsid w:val="00995203"/>
    <w:rsid w:val="009B5038"/>
    <w:rsid w:val="009C4B32"/>
    <w:rsid w:val="009D3092"/>
    <w:rsid w:val="009E197F"/>
    <w:rsid w:val="009F1C8B"/>
    <w:rsid w:val="009F732C"/>
    <w:rsid w:val="00A07F2A"/>
    <w:rsid w:val="00A115AB"/>
    <w:rsid w:val="00A16D8E"/>
    <w:rsid w:val="00A25A9B"/>
    <w:rsid w:val="00A3058C"/>
    <w:rsid w:val="00A35902"/>
    <w:rsid w:val="00A418CC"/>
    <w:rsid w:val="00A52ABE"/>
    <w:rsid w:val="00A5363F"/>
    <w:rsid w:val="00A560EA"/>
    <w:rsid w:val="00A906A5"/>
    <w:rsid w:val="00AA295F"/>
    <w:rsid w:val="00AA2F18"/>
    <w:rsid w:val="00AA56FA"/>
    <w:rsid w:val="00AB0A42"/>
    <w:rsid w:val="00AD00A6"/>
    <w:rsid w:val="00AF525D"/>
    <w:rsid w:val="00AF6102"/>
    <w:rsid w:val="00B034DF"/>
    <w:rsid w:val="00B134F0"/>
    <w:rsid w:val="00B215C4"/>
    <w:rsid w:val="00B30A40"/>
    <w:rsid w:val="00B34B19"/>
    <w:rsid w:val="00B355AF"/>
    <w:rsid w:val="00B3714D"/>
    <w:rsid w:val="00B57BBE"/>
    <w:rsid w:val="00B62E87"/>
    <w:rsid w:val="00B65089"/>
    <w:rsid w:val="00B94A4C"/>
    <w:rsid w:val="00B96D83"/>
    <w:rsid w:val="00BB3AB1"/>
    <w:rsid w:val="00BC0182"/>
    <w:rsid w:val="00BC6F0C"/>
    <w:rsid w:val="00BD272F"/>
    <w:rsid w:val="00BE447C"/>
    <w:rsid w:val="00BE6E4D"/>
    <w:rsid w:val="00BE7D28"/>
    <w:rsid w:val="00BF49CD"/>
    <w:rsid w:val="00BF4F29"/>
    <w:rsid w:val="00BF5062"/>
    <w:rsid w:val="00C11B2C"/>
    <w:rsid w:val="00C1356A"/>
    <w:rsid w:val="00C42BDB"/>
    <w:rsid w:val="00C521F6"/>
    <w:rsid w:val="00C6257B"/>
    <w:rsid w:val="00C639BF"/>
    <w:rsid w:val="00C65017"/>
    <w:rsid w:val="00C67C95"/>
    <w:rsid w:val="00C71367"/>
    <w:rsid w:val="00C85245"/>
    <w:rsid w:val="00C935C1"/>
    <w:rsid w:val="00C96CC0"/>
    <w:rsid w:val="00CB15A4"/>
    <w:rsid w:val="00CB7B64"/>
    <w:rsid w:val="00CC0CB8"/>
    <w:rsid w:val="00CD6DA8"/>
    <w:rsid w:val="00CE4BB0"/>
    <w:rsid w:val="00CF3EF8"/>
    <w:rsid w:val="00D05ABD"/>
    <w:rsid w:val="00D109E6"/>
    <w:rsid w:val="00D15CEB"/>
    <w:rsid w:val="00D17C82"/>
    <w:rsid w:val="00D2148E"/>
    <w:rsid w:val="00D24CB6"/>
    <w:rsid w:val="00D37D40"/>
    <w:rsid w:val="00D54DBC"/>
    <w:rsid w:val="00D556AD"/>
    <w:rsid w:val="00D578E0"/>
    <w:rsid w:val="00D57EA6"/>
    <w:rsid w:val="00D6043C"/>
    <w:rsid w:val="00D617AA"/>
    <w:rsid w:val="00D72500"/>
    <w:rsid w:val="00D73E0F"/>
    <w:rsid w:val="00D87865"/>
    <w:rsid w:val="00D91F72"/>
    <w:rsid w:val="00DA05DF"/>
    <w:rsid w:val="00DD159B"/>
    <w:rsid w:val="00DD4528"/>
    <w:rsid w:val="00DD5743"/>
    <w:rsid w:val="00DE51C7"/>
    <w:rsid w:val="00DE6595"/>
    <w:rsid w:val="00E06694"/>
    <w:rsid w:val="00E14D82"/>
    <w:rsid w:val="00E22DC1"/>
    <w:rsid w:val="00E52474"/>
    <w:rsid w:val="00E61611"/>
    <w:rsid w:val="00E63FEE"/>
    <w:rsid w:val="00E71EB9"/>
    <w:rsid w:val="00E913D2"/>
    <w:rsid w:val="00E92B54"/>
    <w:rsid w:val="00E93662"/>
    <w:rsid w:val="00EB30A8"/>
    <w:rsid w:val="00EB3519"/>
    <w:rsid w:val="00EC2545"/>
    <w:rsid w:val="00ED5C44"/>
    <w:rsid w:val="00EE0242"/>
    <w:rsid w:val="00EE378B"/>
    <w:rsid w:val="00F16158"/>
    <w:rsid w:val="00F35045"/>
    <w:rsid w:val="00F45A4C"/>
    <w:rsid w:val="00F5676A"/>
    <w:rsid w:val="00F84FA7"/>
    <w:rsid w:val="00F8709A"/>
    <w:rsid w:val="00F87F79"/>
    <w:rsid w:val="00FA5D28"/>
    <w:rsid w:val="00FC1FEC"/>
    <w:rsid w:val="00FD7FDC"/>
    <w:rsid w:val="00FE2DA0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0989"/>
  <w15:chartTrackingRefBased/>
  <w15:docId w15:val="{0BEFE0B2-BE74-4064-A07D-180C73F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6A"/>
  </w:style>
  <w:style w:type="paragraph" w:styleId="Footer">
    <w:name w:val="footer"/>
    <w:basedOn w:val="Normal"/>
    <w:link w:val="FooterChar"/>
    <w:uiPriority w:val="99"/>
    <w:unhideWhenUsed/>
    <w:rsid w:val="00C1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6A"/>
  </w:style>
  <w:style w:type="paragraph" w:styleId="ListParagraph">
    <w:name w:val="List Paragraph"/>
    <w:basedOn w:val="Normal"/>
    <w:uiPriority w:val="34"/>
    <w:qFormat/>
    <w:rsid w:val="00BC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C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6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7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72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D1B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545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355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55AF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B355AF"/>
    <w:pPr>
      <w:widowControl w:val="0"/>
      <w:autoSpaceDE w:val="0"/>
      <w:autoSpaceDN w:val="0"/>
      <w:spacing w:before="124" w:after="0" w:line="240" w:lineRule="auto"/>
      <w:ind w:left="626"/>
    </w:pPr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29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sick@illinois.gov" TargetMode="External"/><Relationship Id="rId13" Type="http://schemas.openxmlformats.org/officeDocument/2006/relationships/hyperlink" Target="https://www.cdc.gov/coronavirus/2019-ncov/travelers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ph.illinois.gov/topics-services/diseases-and-conditions/diseases-a-z-list/coronavirus/health-care-providers/PUI-decision-matri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h.illinois.gov/sites/default/files/Employee%20Monitoring%20Tool.docx%2003092020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cdc.gov/coronavirus/2019-ncov/php/risk-assess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ph.illinois.gov/topics-services/diseases-and-conditions/diseases-a-z-list/coronavirus/faq" TargetMode="Externa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9934-2C75-4328-92BA-E97645CC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Molly</dc:creator>
  <cp:keywords/>
  <dc:description/>
  <cp:lastModifiedBy>Lerner, Scott</cp:lastModifiedBy>
  <cp:revision>3</cp:revision>
  <cp:lastPrinted>2020-03-16T19:10:00Z</cp:lastPrinted>
  <dcterms:created xsi:type="dcterms:W3CDTF">2020-03-18T16:09:00Z</dcterms:created>
  <dcterms:modified xsi:type="dcterms:W3CDTF">2020-03-18T16:19:00Z</dcterms:modified>
</cp:coreProperties>
</file>