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63CF" w14:textId="77777777" w:rsidR="001363AB" w:rsidRDefault="000B1EC1">
      <w:pPr>
        <w:pStyle w:val="Title"/>
        <w:keepNext w:val="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BOARD OF DIRECTORS</w:t>
      </w:r>
    </w:p>
    <w:p w14:paraId="0886CB67" w14:textId="77777777" w:rsidR="001363AB" w:rsidRDefault="000B1EC1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ALAMANCE COUNTY TOURISM DEVELOPMENT AUTHORITY</w:t>
      </w:r>
    </w:p>
    <w:p w14:paraId="3635E1AB" w14:textId="17AB634C" w:rsidR="001363AB" w:rsidRDefault="00F035B7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Tuesday, </w:t>
      </w:r>
      <w:r w:rsidR="008D6169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October 26</w:t>
      </w: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597F76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2F0C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2021,</w:t>
      </w:r>
      <w:r w:rsidR="000B1EC1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1</w:t>
      </w:r>
      <w:r w:rsidR="000F4968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 w:rsidR="000B1EC1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0B1EC1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 A.M.</w:t>
      </w:r>
    </w:p>
    <w:p w14:paraId="127C86CB" w14:textId="76955020" w:rsidR="00BB3E34" w:rsidRDefault="008D6169" w:rsidP="00BB3E34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Historic Depot</w:t>
      </w:r>
    </w:p>
    <w:p w14:paraId="77D2AB4F" w14:textId="77777777" w:rsidR="00BB3E34" w:rsidRDefault="00BB3E34" w:rsidP="00BB3E34">
      <w:pPr>
        <w:pStyle w:val="Default"/>
        <w:spacing w:before="0"/>
        <w:ind w:firstLine="72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6F7ED5" w14:textId="1113A04B" w:rsidR="00BB3E34" w:rsidRPr="00BB3E34" w:rsidRDefault="000B1EC1" w:rsidP="00BB3E34">
      <w:pPr>
        <w:pStyle w:val="Default"/>
        <w:spacing w:before="0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  <w:r w:rsidR="00375531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Anderson Rathbun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</w:t>
      </w:r>
      <w:r w:rsidR="000F496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CVB:  Grace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VandeVisser</w:t>
      </w:r>
    </w:p>
    <w:p w14:paraId="63A0F6DC" w14:textId="6D861AEE" w:rsidR="00BB3E34" w:rsidRDefault="00375531" w:rsidP="00375531">
      <w:pPr>
        <w:pStyle w:val="Default"/>
        <w:spacing w:before="0"/>
        <w:ind w:firstLine="72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F035B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Jessa</w:t>
      </w:r>
      <w:r w:rsidR="00273F6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F035B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yn</w:t>
      </w:r>
      <w:r w:rsidR="00C70D7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="00F035B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Strauss</w:t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E0CF30E" w14:textId="312ABB19" w:rsidR="00BB3E34" w:rsidRDefault="00655F78" w:rsidP="00BB3E34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Katie Dukeshire-Geoffrion</w:t>
      </w:r>
      <w:r w:rsidR="00512EBE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12EBE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12EBE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Financial: </w:t>
      </w:r>
      <w:r w:rsidR="008D6169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Jennifer Blalock via Zoom</w:t>
      </w:r>
    </w:p>
    <w:p w14:paraId="00A8028A" w14:textId="09DA782A" w:rsidR="008D6169" w:rsidRDefault="008D6169" w:rsidP="00BB3E34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M</w:t>
      </w:r>
      <w:r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att Patel via Zoom</w:t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75531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Auditors: Martin Starnes &amp; </w:t>
      </w:r>
      <w:r w:rsidR="00092F0C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Associates</w:t>
      </w:r>
    </w:p>
    <w:p w14:paraId="4DFF9525" w14:textId="606CE332" w:rsidR="001363AB" w:rsidRPr="00CA4E38" w:rsidRDefault="000B1EC1" w:rsidP="00BB3E34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</w:t>
      </w:r>
    </w:p>
    <w:p w14:paraId="6109938B" w14:textId="77777777" w:rsidR="001363AB" w:rsidRDefault="000B1EC1">
      <w:pPr>
        <w:pStyle w:val="Default"/>
        <w:spacing w:before="0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Moment of Silence</w:t>
      </w:r>
    </w:p>
    <w:p w14:paraId="476E2153" w14:textId="77777777" w:rsidR="001363AB" w:rsidRDefault="001363AB">
      <w:pPr>
        <w:pStyle w:val="Default"/>
        <w:spacing w:before="0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014138" w14:textId="67E571EB" w:rsidR="001363AB" w:rsidRDefault="00597F76" w:rsidP="008B3A8F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>Katie Dukeshire-Geoffrion</w:t>
      </w:r>
      <w:r w:rsidR="000B1EC1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Chair, called the meeting to order and a moment of silence was observed.</w:t>
      </w:r>
    </w:p>
    <w:p w14:paraId="362FF9E7" w14:textId="77777777" w:rsidR="001363AB" w:rsidRDefault="001363AB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321448" w14:textId="77777777" w:rsidR="008B3A8F" w:rsidRDefault="000B1EC1" w:rsidP="008B3A8F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Approval of Minutes</w:t>
      </w:r>
    </w:p>
    <w:p w14:paraId="00ADD7FE" w14:textId="77777777" w:rsidR="00375531" w:rsidRDefault="00375531" w:rsidP="008B3A8F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EAEA6" w14:textId="33668FF7" w:rsidR="001363AB" w:rsidRPr="008B3A8F" w:rsidRDefault="000B1EC1" w:rsidP="008B3A8F">
      <w:pPr>
        <w:pStyle w:val="Default"/>
        <w:spacing w:before="0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</w:t>
      </w:r>
      <w:r w:rsidR="00597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tie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asked if there were any additions or corrections to be made to the</w:t>
      </w:r>
      <w:r w:rsidR="00EE03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D6169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August</w:t>
      </w:r>
      <w:r w:rsidR="00EE03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  <w:r w:rsidR="00B93AB4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 updates were needed.  </w:t>
      </w:r>
      <w:r w:rsidR="00D2571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Jessalyn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motioned to approve the minutes and </w:t>
      </w:r>
      <w:r w:rsidR="000A0D2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Anderson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seconded</w:t>
      </w:r>
      <w:r w:rsidR="00EE03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Minutes were unanimously approved. </w:t>
      </w:r>
    </w:p>
    <w:p w14:paraId="218F165C" w14:textId="77777777" w:rsidR="001363AB" w:rsidRDefault="001363AB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598B3C" w14:textId="77777777" w:rsidR="001363AB" w:rsidRDefault="000B1EC1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27747885"/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Collection Report</w:t>
      </w:r>
    </w:p>
    <w:p w14:paraId="4B3F3F08" w14:textId="77777777" w:rsidR="001363AB" w:rsidRDefault="001363AB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0"/>
    <w:p w14:paraId="74C568AC" w14:textId="58E93729" w:rsidR="00E93CA0" w:rsidRDefault="00E93CA0" w:rsidP="00E93CA0">
      <w:pPr>
        <w:pStyle w:val="Default"/>
        <w:spacing w:before="0"/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Jennifer Blalock presented </w:t>
      </w:r>
      <w:r w:rsidR="0085111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the financial reports through September 30, 202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1. Total assets are $1,5</w:t>
      </w:r>
      <w:r w:rsidR="0085111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66,000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/>
          <w:color w:val="9411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Revenues reported were $</w:t>
      </w:r>
      <w:r w:rsidR="0085111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68,128 with e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xpenditures reported</w:t>
      </w:r>
      <w:r w:rsidR="00AC3E4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at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$</w:t>
      </w:r>
      <w:r w:rsidR="00AC3E4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120,981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. Occupancy tax collections reported through 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August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2021 totaled $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217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164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, a 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7</w:t>
      </w:r>
      <w:r w:rsidR="007502E7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7502E7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54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% 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in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crease over the same period in 2020</w:t>
      </w:r>
      <w:r w:rsidR="00F040F0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(17.8% over the same period in 2019)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with the TDA’s share of $</w:t>
      </w:r>
      <w:r w:rsidR="003B3856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140,444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092F0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Investment’s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total $</w:t>
      </w:r>
      <w:r w:rsidR="00A56C43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585,097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A56C43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Sales tax collections for the month of July 2021 reflects a 21.51% increase over the same period in 2020.</w:t>
      </w:r>
    </w:p>
    <w:p w14:paraId="419D72EF" w14:textId="7DA65BAC" w:rsidR="00A56C43" w:rsidRDefault="00A56C43" w:rsidP="00E93CA0">
      <w:pPr>
        <w:pStyle w:val="Default"/>
        <w:spacing w:before="0"/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182E2A19" w14:textId="571E6006" w:rsidR="00375531" w:rsidRDefault="00375531" w:rsidP="00375531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Audit Presentation</w:t>
      </w:r>
    </w:p>
    <w:p w14:paraId="7217DAB4" w14:textId="18285B89" w:rsidR="00375531" w:rsidRDefault="00375531" w:rsidP="00E93CA0">
      <w:pPr>
        <w:pStyle w:val="Default"/>
        <w:spacing w:before="0"/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Alamance County’s TDA 2021 Audited Financial Statements.  There was a clean opinion</w:t>
      </w:r>
      <w:r w:rsidR="00D002E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of the audit</w:t>
      </w:r>
      <w:r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 with no significant deficiencies </w:t>
      </w:r>
      <w:r w:rsidR="00D002E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or material internal control weaknesses identified.  Martin Starnes had a very cooperative county staff as they reviewed the audit. Revenues increased $30,641 </w:t>
      </w:r>
      <w:r w:rsidR="00A655B4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(6%) </w:t>
      </w:r>
      <w:r w:rsidR="00D002E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due to an increase in interest income. And revenues </w:t>
      </w:r>
      <w:r w:rsidR="00A655B4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in FY21 </w:t>
      </w:r>
      <w:r w:rsidR="00D002E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were not affected </w:t>
      </w:r>
      <w:r w:rsidR="00A655B4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as much due to </w:t>
      </w:r>
      <w:r w:rsidR="00D002EC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Covid</w:t>
      </w:r>
      <w:r w:rsidR="00A655B4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, compared to FY20.  Expenditures decreased $90,293 (18%) due to vacant positions and lower expenses due to Covid. </w:t>
      </w:r>
      <w:r w:rsidR="000B0541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Total f</w:t>
      </w:r>
      <w:r w:rsidR="00A655B4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und balance increased </w:t>
      </w:r>
      <w:r w:rsidR="000B0541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 xml:space="preserve">by $141,766 (10%) due to decreases in expenses and increases in revenues. There was an increase of $107,949 (7%) in available Fund Balance </w:t>
      </w:r>
      <w:r w:rsidR="00D60D19"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  <w:t>which is roughly 46 months of supply on hand or 8% - where 8% equaling one month’s supply</w:t>
      </w:r>
    </w:p>
    <w:p w14:paraId="4448AECC" w14:textId="77777777" w:rsidR="00375531" w:rsidRDefault="00375531" w:rsidP="00E93CA0">
      <w:pPr>
        <w:pStyle w:val="Default"/>
        <w:spacing w:before="0"/>
        <w:rPr>
          <w:rFonts w:ascii="Times New Roman" w:hAnsi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3A948A61" w14:textId="77777777" w:rsidR="001363AB" w:rsidRDefault="000B1EC1">
      <w:pPr>
        <w:pStyle w:val="Heading3"/>
        <w:pBdr>
          <w:top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Visitor Bureau Updates</w:t>
      </w:r>
    </w:p>
    <w:p w14:paraId="6F8D7D82" w14:textId="77777777" w:rsidR="001363AB" w:rsidRDefault="001363AB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FD804F" w14:textId="392D1640" w:rsidR="0000318F" w:rsidRDefault="004A51E0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 we</w:t>
      </w:r>
      <w:r w:rsidR="007502E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continue to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use 2019 as a baseline year and c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omparing </w:t>
      </w:r>
      <w:r w:rsidR="00177AA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r w:rsidR="00A9288A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against 2021,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occupancy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levels</w:t>
      </w:r>
      <w:r w:rsidR="007502E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77AA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July-September averaged </w:t>
      </w:r>
      <w:r w:rsidR="007502E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62.1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502E7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60.6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respectively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C0EF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77AA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However, i</w:t>
      </w:r>
      <w:r w:rsidR="004C0EF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these first three </w:t>
      </w:r>
      <w:r w:rsidR="004C0EF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months of the fiscal year, we have experienced a 13.14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  <w:r w:rsidR="004C0EF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increase </w:t>
      </w:r>
      <w:r w:rsidR="00177AA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revenues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0A314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compared to 20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19.</w:t>
      </w:r>
    </w:p>
    <w:p w14:paraId="74A4219E" w14:textId="57AA8F07" w:rsidR="00512EBE" w:rsidRDefault="00512EBE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6F7666" w14:textId="7541DF8B" w:rsidR="00445D8C" w:rsidRDefault="00A046AF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update was provided to the board regarding the IMG/Learfi</w:t>
      </w:r>
      <w:r w:rsidR="00A9288A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eld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digital program partnership. We were able to include the following schools to market Alamance County through their sports network:  Elon, Duke,</w:t>
      </w:r>
      <w:r w:rsidR="00D818D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UNC,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NC State.  We were able to negotiate the inclusion of UNCG and Charlotte at the rate of $8,610.  As a recap, this would include 1</w:t>
      </w:r>
      <w:r w:rsidR="00F0116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00,000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geo-targeted </w:t>
      </w:r>
      <w:r w:rsidR="00F0116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impressions, per school, through the spring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sports season</w:t>
      </w:r>
      <w:r w:rsidR="00512EB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 this was not initially included in the approved advertising budget, a motion was made by Anderson Rathbun 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approve proceeding with the opportunity.  K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atie Geoffrion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seconded the motion with the remaining board members unanimous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ly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appro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ving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In addition, a cooperative opportunity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offer our partners 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was also discussed regarding Our State magazine for February, in their Town &amp; County in the NC Piedmont’s special edition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The amount of </w:t>
      </w:r>
      <w:r w:rsidR="00445D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$3,750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would be supplemented by the CVB with partner engagement at $3,750. A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motion was made by Anderson Rathbun to approve proceeding with the opportunity.  Katie Geoffrion seconded the motion with the remaining board members unanimous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ly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approv</w:t>
      </w:r>
      <w:r w:rsidR="00F8702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ing.</w:t>
      </w:r>
    </w:p>
    <w:p w14:paraId="2225B00D" w14:textId="1ADF9F0B" w:rsidR="00F87022" w:rsidRDefault="00F87022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47774E" w14:textId="47A44012" w:rsidR="00D8035D" w:rsidRDefault="00F87022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424E7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annual marketing grant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will be released on November 1</w:t>
      </w:r>
      <w:r w:rsidRPr="00F87022">
        <w:rPr>
          <w:rFonts w:ascii="Times New Roman" w:hAnsi="Times New Roman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  <w:r w:rsidR="00D8035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deadline for the application and related documents is January 3, 2022.  The only update to the grant is inclusion of a schedule specifically to those who will be </w:t>
      </w:r>
      <w:r w:rsidR="00092F0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applying</w:t>
      </w:r>
      <w:r w:rsidR="00D8035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relevant to advertising, to assist with planning their advertising schedule.</w:t>
      </w:r>
    </w:p>
    <w:p w14:paraId="77C9BA7A" w14:textId="77777777" w:rsidR="00D8035D" w:rsidRDefault="00D8035D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C6104F" w14:textId="5D8EC654" w:rsidR="00D8035D" w:rsidRDefault="00995C8D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 w:rsidR="00D8035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Visitor Services Coordinator position should be posted this week.</w:t>
      </w:r>
    </w:p>
    <w:p w14:paraId="5859F182" w14:textId="77777777" w:rsidR="00D8035D" w:rsidRDefault="00D8035D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6AD935" w14:textId="67FA54F6" w:rsidR="00995C8D" w:rsidRDefault="00995C8D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month we administered a Partner Marketing Survey which was sent to approximately 147 partners, with approximately 50 partners responding. </w:t>
      </w:r>
    </w:p>
    <w:p w14:paraId="52197596" w14:textId="77777777" w:rsidR="00995C8D" w:rsidRDefault="00995C8D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08B48E" w14:textId="2076820C" w:rsidR="008C7168" w:rsidRDefault="008C7168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received Visitor Impact reporting from Visit NC/EDPNC for 2020.  A press release was sent out regarding our county impact figures on October 22</w:t>
      </w:r>
      <w:r w:rsidRPr="008C7168">
        <w:rPr>
          <w:rFonts w:ascii="Times New Roman" w:hAnsi="Times New Roman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nd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Although county spending decreased by 31.1% compared to 2019, our community remained competitive in</w:t>
      </w:r>
      <w:r w:rsidR="0020218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Piedmont</w:t>
      </w:r>
      <w:r w:rsidR="0020218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Based on the STR Report, we had higher occupancy and revenues through December 2020 compared to Piedmont region</w:t>
      </w:r>
      <w:r w:rsidR="000A4F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In addition, our collections are beginning to surpass 2019 collections, and we are using 2019 as our b</w:t>
      </w:r>
      <w:r w:rsidR="00A643B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enchmark</w:t>
      </w:r>
      <w:r w:rsidR="000A4F8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comparative purposes</w:t>
      </w:r>
      <w:r w:rsidR="00A643B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moving out of Covid.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In addition, reporting provided by Visit NC, for the first time, includes reporting on segments</w:t>
      </w:r>
      <w:r w:rsidR="008F0D0A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lodging, recreation, F&amp;B, </w:t>
      </w:r>
      <w:r w:rsidR="00D818D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transportation,</w:t>
      </w:r>
      <w:r w:rsidR="008F0D0A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retail.</w:t>
      </w:r>
    </w:p>
    <w:p w14:paraId="6EC7F887" w14:textId="08964EFA" w:rsidR="00A643B3" w:rsidRDefault="00A643B3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534F11" w14:textId="42E86F91" w:rsidR="005462DC" w:rsidRDefault="00092F0C" w:rsidP="005462DC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regard to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PNC building in Graha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 which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 had toured as a potential site for 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future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visitor</w:t>
      </w:r>
      <w:r w:rsidR="005462D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center, that property is under contract.  Jason Cox’s understanding is that the contract is firm.  We will continue to search for an opportunity.</w:t>
      </w:r>
    </w:p>
    <w:p w14:paraId="616F1196" w14:textId="7D029170" w:rsidR="008F0D0A" w:rsidRDefault="008F0D0A" w:rsidP="005462DC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926FBE" w14:textId="3C112497" w:rsidR="008F0D0A" w:rsidRDefault="008F0D0A" w:rsidP="005462DC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2022 Visitor Guidebook revisions are almost complete.  We have only a few items to finalize include photography approvals, the selfie “scavenger hunt” addition and the cover.  Discussion was had regarding a few options for the cover.</w:t>
      </w:r>
    </w:p>
    <w:p w14:paraId="09609115" w14:textId="3CB9FE7A" w:rsidR="00A643B3" w:rsidRDefault="00A643B3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64520E" w14:textId="77777777" w:rsidR="00CA7E56" w:rsidRDefault="00CA7E56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E3669F" w14:textId="77777777" w:rsidR="008C7168" w:rsidRDefault="008C7168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986061" w14:textId="6D7139AE" w:rsidR="007E7BDE" w:rsidRDefault="007E7BDE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Since our last meeting there have been 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70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brochure requests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have 2,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643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Facebook followers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571A7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increase of 507 new followers</w:t>
      </w:r>
      <w:r w:rsidR="00571A7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14,000 post reach and 1,400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engagements</w:t>
      </w:r>
      <w:r w:rsidR="00CA7E5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Our website had 6,000 users and 13,000 pageviews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Our</w:t>
      </w:r>
      <w:r w:rsidR="00571A7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final figures for our F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acebook </w:t>
      </w:r>
      <w:r w:rsidR="00571A7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campaign from August-October reached 23,000 and had 2,200 engagements, with 1,900 clicking through to our website. This promotion was a success as the goals were to increase website traffic and engagement.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Our I</w:t>
      </w:r>
      <w:r w:rsidR="00D16E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nstagram followers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up to </w:t>
      </w:r>
      <w:r w:rsidR="00D16E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F604A4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16E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571A78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67 and 756</w:t>
      </w:r>
      <w:r w:rsidR="00D16E35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engagements this past month. </w:t>
      </w:r>
      <w:r w:rsidR="00923F76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Our top referring pages continue with Facebook, Visit NC, MLB and popular for fall, PumpkinPatchesandMore.org.  New and returning visitors to our website were up by 76.89% and 109.59% respectively from last year, however, compared to last month, they were down overall by 22.4%.</w:t>
      </w:r>
    </w:p>
    <w:p w14:paraId="24CB6F62" w14:textId="77777777" w:rsidR="007E7BDE" w:rsidRDefault="007E7BDE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1295B4" w14:textId="0F8A298E" w:rsidR="00F604A4" w:rsidRDefault="00626EA0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7E7BD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3F69C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bsite </w:t>
      </w:r>
      <w:r w:rsidR="007E7BD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users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month were</w:t>
      </w:r>
      <w:r w:rsidR="003F69C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Greensboro, Raleigh, Charlotte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818D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Atlanta,</w:t>
      </w:r>
      <w:r w:rsidR="003F69C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and DC and again seeing visitors</w:t>
      </w:r>
      <w:r w:rsidR="003F69CD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Myrtle Beach. </w:t>
      </w:r>
    </w:p>
    <w:p w14:paraId="59A5A20E" w14:textId="77777777" w:rsidR="00F604A4" w:rsidRDefault="00F604A4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BE1BD4" w14:textId="77777777" w:rsidR="00626EA0" w:rsidRDefault="003F69CD" w:rsidP="00626EA0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Recent ad placement</w:t>
      </w:r>
      <w:r w:rsidR="007E7BD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626EA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included Our State print and digital, Raleigh Magazine, Featured events on VisitNC.com, Relocation Magazine, IMG/Learfield digital, NC PBS digital, Alamance Crossing and Tanger billboard and panel promotion.</w:t>
      </w:r>
    </w:p>
    <w:p w14:paraId="09C8E066" w14:textId="77777777" w:rsidR="00BF6C13" w:rsidRDefault="00BF6C13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559873" w14:textId="1FC65F3A" w:rsidR="0000318F" w:rsidRDefault="0000318F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084904" w14:textId="77777777" w:rsidR="00CA4E38" w:rsidRDefault="00CA4E38">
      <w:pPr>
        <w:pStyle w:val="Default"/>
        <w:spacing w:before="0"/>
        <w:jc w:val="center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395D89" w14:textId="484A3CB8" w:rsidR="001363AB" w:rsidRDefault="000B1EC1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Adjourn</w:t>
      </w:r>
    </w:p>
    <w:p w14:paraId="64C63EC3" w14:textId="77777777" w:rsidR="001363AB" w:rsidRDefault="001363AB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62B18F" w14:textId="39E08D4A" w:rsidR="001363AB" w:rsidRDefault="00DE6AE0">
      <w:pPr>
        <w:pStyle w:val="Default"/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</w:t>
      </w:r>
      <w:r w:rsidR="002A4211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tie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1EC1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adjourned the meeting at </w:t>
      </w:r>
      <w:r w:rsidR="00D818D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11:33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25C14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</w:t>
      </w:r>
    </w:p>
    <w:p w14:paraId="794271F2" w14:textId="4C0DC7D8" w:rsidR="001363AB" w:rsidRDefault="000B1EC1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Minutes submitted by </w:t>
      </w:r>
      <w:r w:rsidR="00D818D0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Grace VandeVisser</w:t>
      </w:r>
    </w:p>
    <w:p w14:paraId="5CF2150A" w14:textId="77777777" w:rsidR="00F604A4" w:rsidRDefault="00F604A4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226226" w14:textId="7B1C056C" w:rsidR="00425C14" w:rsidRDefault="00425C14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08F438" w14:textId="5B8E0F70" w:rsidR="00425C14" w:rsidRDefault="00425C14">
      <w:pPr>
        <w:pStyle w:val="Default"/>
        <w:spacing w:before="0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F328B5" w14:textId="31FBA410" w:rsidR="00425C14" w:rsidRPr="00D818D0" w:rsidRDefault="00425C14" w:rsidP="00425C14">
      <w:pPr>
        <w:pStyle w:val="Default"/>
        <w:spacing w:before="0"/>
        <w:jc w:val="center"/>
        <w:rPr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18D0">
        <w:rPr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Upcoming </w:t>
      </w:r>
      <w:r w:rsidR="00D818D0" w:rsidRPr="00D818D0">
        <w:rPr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Meeting</w:t>
      </w:r>
      <w:r w:rsidR="002E2294" w:rsidRPr="00D818D0">
        <w:rPr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818D0">
        <w:rPr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Dates:</w:t>
      </w:r>
    </w:p>
    <w:p w14:paraId="10AEE96F" w14:textId="31083538" w:rsidR="00D818D0" w:rsidRPr="00D818D0" w:rsidRDefault="00D818D0" w:rsidP="00425C14">
      <w:pPr>
        <w:pStyle w:val="Default"/>
        <w:spacing w:before="0"/>
        <w:jc w:val="center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18D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January 19, 2022 – SDC Meeting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818D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Best Western</w:t>
      </w:r>
    </w:p>
    <w:p w14:paraId="63E1D14D" w14:textId="1CE38E01" w:rsidR="005835E9" w:rsidRDefault="00D818D0" w:rsidP="00E77FD3">
      <w:pPr>
        <w:pStyle w:val="Default"/>
        <w:spacing w:before="0"/>
        <w:jc w:val="center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January 25, 2022 </w:t>
      </w:r>
      <w:r w:rsidR="00092F0C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TDA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- Historic Depot</w:t>
      </w:r>
    </w:p>
    <w:sectPr w:rsidR="005835E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9C6B" w14:textId="77777777" w:rsidR="00A6484A" w:rsidRDefault="00A6484A">
      <w:r>
        <w:separator/>
      </w:r>
    </w:p>
  </w:endnote>
  <w:endnote w:type="continuationSeparator" w:id="0">
    <w:p w14:paraId="51E1F441" w14:textId="77777777" w:rsidR="00A6484A" w:rsidRDefault="00A6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203" w14:textId="77777777" w:rsidR="001363AB" w:rsidRDefault="001363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EAA9" w14:textId="77777777" w:rsidR="00A6484A" w:rsidRDefault="00A6484A">
      <w:r>
        <w:separator/>
      </w:r>
    </w:p>
  </w:footnote>
  <w:footnote w:type="continuationSeparator" w:id="0">
    <w:p w14:paraId="31638232" w14:textId="77777777" w:rsidR="00A6484A" w:rsidRDefault="00A6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90E" w14:textId="77777777" w:rsidR="001363AB" w:rsidRDefault="001363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AB"/>
    <w:rsid w:val="0000318F"/>
    <w:rsid w:val="00004446"/>
    <w:rsid w:val="00010036"/>
    <w:rsid w:val="00063882"/>
    <w:rsid w:val="00092F0C"/>
    <w:rsid w:val="000A0D2D"/>
    <w:rsid w:val="000A0DCA"/>
    <w:rsid w:val="000A314C"/>
    <w:rsid w:val="000A4F8C"/>
    <w:rsid w:val="000B0541"/>
    <w:rsid w:val="000B1EC1"/>
    <w:rsid w:val="000E4637"/>
    <w:rsid w:val="000F4968"/>
    <w:rsid w:val="00101590"/>
    <w:rsid w:val="001363AB"/>
    <w:rsid w:val="0016257D"/>
    <w:rsid w:val="00177AAF"/>
    <w:rsid w:val="001A1087"/>
    <w:rsid w:val="00201213"/>
    <w:rsid w:val="00202180"/>
    <w:rsid w:val="00211184"/>
    <w:rsid w:val="00246B07"/>
    <w:rsid w:val="00273F68"/>
    <w:rsid w:val="002819AE"/>
    <w:rsid w:val="002A296B"/>
    <w:rsid w:val="002A4211"/>
    <w:rsid w:val="002E1BEA"/>
    <w:rsid w:val="002E2294"/>
    <w:rsid w:val="002E276E"/>
    <w:rsid w:val="002E6F21"/>
    <w:rsid w:val="0030350B"/>
    <w:rsid w:val="0032078A"/>
    <w:rsid w:val="00326D84"/>
    <w:rsid w:val="00341387"/>
    <w:rsid w:val="00375531"/>
    <w:rsid w:val="00390E7A"/>
    <w:rsid w:val="003B3856"/>
    <w:rsid w:val="003B4F04"/>
    <w:rsid w:val="003F4314"/>
    <w:rsid w:val="003F69CD"/>
    <w:rsid w:val="00424E7E"/>
    <w:rsid w:val="00425C14"/>
    <w:rsid w:val="00445D8C"/>
    <w:rsid w:val="004A51E0"/>
    <w:rsid w:val="004C0EF8"/>
    <w:rsid w:val="00501E5E"/>
    <w:rsid w:val="00503591"/>
    <w:rsid w:val="0050572C"/>
    <w:rsid w:val="00512EBE"/>
    <w:rsid w:val="005462DC"/>
    <w:rsid w:val="00571A78"/>
    <w:rsid w:val="00575F8B"/>
    <w:rsid w:val="005835E9"/>
    <w:rsid w:val="00590D00"/>
    <w:rsid w:val="00597F76"/>
    <w:rsid w:val="005A36E8"/>
    <w:rsid w:val="005E2D2D"/>
    <w:rsid w:val="00626EA0"/>
    <w:rsid w:val="0063173D"/>
    <w:rsid w:val="00645777"/>
    <w:rsid w:val="00655F78"/>
    <w:rsid w:val="006873A1"/>
    <w:rsid w:val="006928EE"/>
    <w:rsid w:val="0069651A"/>
    <w:rsid w:val="006A55B8"/>
    <w:rsid w:val="006B5E7E"/>
    <w:rsid w:val="00706A9F"/>
    <w:rsid w:val="007502E7"/>
    <w:rsid w:val="007E4CD4"/>
    <w:rsid w:val="007E7BDE"/>
    <w:rsid w:val="007F0840"/>
    <w:rsid w:val="007F52CB"/>
    <w:rsid w:val="0082504E"/>
    <w:rsid w:val="0085111C"/>
    <w:rsid w:val="008B3A8F"/>
    <w:rsid w:val="008C7168"/>
    <w:rsid w:val="008D1064"/>
    <w:rsid w:val="008D6169"/>
    <w:rsid w:val="008F0D0A"/>
    <w:rsid w:val="00923F76"/>
    <w:rsid w:val="009720CA"/>
    <w:rsid w:val="00995C8D"/>
    <w:rsid w:val="009A65ED"/>
    <w:rsid w:val="009B76B3"/>
    <w:rsid w:val="009B7D15"/>
    <w:rsid w:val="00A0176A"/>
    <w:rsid w:val="00A046AF"/>
    <w:rsid w:val="00A51B56"/>
    <w:rsid w:val="00A56C43"/>
    <w:rsid w:val="00A643B3"/>
    <w:rsid w:val="00A6484A"/>
    <w:rsid w:val="00A655B4"/>
    <w:rsid w:val="00A9288A"/>
    <w:rsid w:val="00AA05D0"/>
    <w:rsid w:val="00AA3DF1"/>
    <w:rsid w:val="00AC3E46"/>
    <w:rsid w:val="00B038AA"/>
    <w:rsid w:val="00B93AB4"/>
    <w:rsid w:val="00BB3E34"/>
    <w:rsid w:val="00BF695E"/>
    <w:rsid w:val="00BF6C13"/>
    <w:rsid w:val="00C70D72"/>
    <w:rsid w:val="00CA4E38"/>
    <w:rsid w:val="00CA7E56"/>
    <w:rsid w:val="00CF77DC"/>
    <w:rsid w:val="00D002EC"/>
    <w:rsid w:val="00D038F2"/>
    <w:rsid w:val="00D109E5"/>
    <w:rsid w:val="00D16E35"/>
    <w:rsid w:val="00D17B73"/>
    <w:rsid w:val="00D25713"/>
    <w:rsid w:val="00D60D19"/>
    <w:rsid w:val="00D62786"/>
    <w:rsid w:val="00D8035D"/>
    <w:rsid w:val="00D818D0"/>
    <w:rsid w:val="00DB0A82"/>
    <w:rsid w:val="00DE0AF2"/>
    <w:rsid w:val="00DE6AE0"/>
    <w:rsid w:val="00E14616"/>
    <w:rsid w:val="00E57F32"/>
    <w:rsid w:val="00E77FD3"/>
    <w:rsid w:val="00E93CA0"/>
    <w:rsid w:val="00EC7F15"/>
    <w:rsid w:val="00EE0335"/>
    <w:rsid w:val="00F01163"/>
    <w:rsid w:val="00F035B7"/>
    <w:rsid w:val="00F040F0"/>
    <w:rsid w:val="00F42020"/>
    <w:rsid w:val="00F57D9E"/>
    <w:rsid w:val="00F604A4"/>
    <w:rsid w:val="00F81DAE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4D00"/>
  <w15:docId w15:val="{859F0F43-190E-4C4F-8279-2387D0B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link w:val="Heading2Char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375531"/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Davis</dc:creator>
  <cp:lastModifiedBy>Grace VandeVisser</cp:lastModifiedBy>
  <cp:revision>2</cp:revision>
  <cp:lastPrinted>2021-08-24T12:29:00Z</cp:lastPrinted>
  <dcterms:created xsi:type="dcterms:W3CDTF">2021-12-17T19:06:00Z</dcterms:created>
  <dcterms:modified xsi:type="dcterms:W3CDTF">2021-12-17T19:06:00Z</dcterms:modified>
</cp:coreProperties>
</file>