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B1CA77" w14:textId="7A631568" w:rsidR="00EE242B" w:rsidRPr="00196783" w:rsidRDefault="00EE242B" w:rsidP="00EE242B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 w:rsidRPr="00DC51BC">
        <w:rPr>
          <w:rFonts w:ascii="Times New Roman" w:eastAsia="Times New Roman" w:hAnsi="Times New Roman" w:cs="Times New Roman"/>
          <w:noProof/>
          <w:kern w:val="0"/>
          <w:sz w:val="36"/>
          <w:szCs w:val="36"/>
          <w:bdr w:val="none" w:sz="0" w:space="0" w:color="auto" w:frame="1"/>
          <w14:ligatures w14:val="none"/>
        </w:rPr>
        <w:drawing>
          <wp:anchor distT="0" distB="0" distL="114300" distR="114300" simplePos="0" relativeHeight="251658240" behindDoc="0" locked="0" layoutInCell="1" allowOverlap="1" wp14:anchorId="61E5977F" wp14:editId="61F60DCB">
            <wp:simplePos x="0" y="0"/>
            <wp:positionH relativeFrom="column">
              <wp:posOffset>104775</wp:posOffset>
            </wp:positionH>
            <wp:positionV relativeFrom="paragraph">
              <wp:posOffset>314325</wp:posOffset>
            </wp:positionV>
            <wp:extent cx="1247775" cy="1247775"/>
            <wp:effectExtent l="0" t="0" r="9525" b="9525"/>
            <wp:wrapThrough wrapText="bothSides">
              <wp:wrapPolygon edited="0">
                <wp:start x="0" y="0"/>
                <wp:lineTo x="0" y="21435"/>
                <wp:lineTo x="21435" y="21435"/>
                <wp:lineTo x="21435" y="0"/>
                <wp:lineTo x="0" y="0"/>
              </wp:wrapPolygon>
            </wp:wrapThrough>
            <wp:docPr id="930789472" name="Picture 1" descr="A logo for a tourism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logo for a tourism company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7FD0CE8" wp14:editId="52149348">
                <wp:simplePos x="0" y="0"/>
                <wp:positionH relativeFrom="margin">
                  <wp:posOffset>1438275</wp:posOffset>
                </wp:positionH>
                <wp:positionV relativeFrom="paragraph">
                  <wp:posOffset>0</wp:posOffset>
                </wp:positionV>
                <wp:extent cx="5419725" cy="1547495"/>
                <wp:effectExtent l="0" t="0" r="0" b="0"/>
                <wp:wrapSquare wrapText="bothSides"/>
                <wp:docPr id="362656067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19725" cy="154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9E6264" w14:textId="77777777" w:rsidR="00EE242B" w:rsidRPr="00DC51BC" w:rsidRDefault="00EE242B" w:rsidP="00EE242B">
                            <w:pPr>
                              <w:spacing w:before="80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DC51BC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8E4459"/>
                                <w:kern w:val="0"/>
                                <w:sz w:val="34"/>
                                <w:szCs w:val="34"/>
                                <w14:ligatures w14:val="none"/>
                              </w:rPr>
                              <w:t>________</w:t>
                            </w:r>
                            <w:r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8E4459"/>
                                <w:kern w:val="0"/>
                                <w:sz w:val="34"/>
                                <w:szCs w:val="34"/>
                                <w14:ligatures w14:val="none"/>
                              </w:rPr>
                              <w:t>_</w:t>
                            </w:r>
                            <w:r w:rsidRPr="00DC51BC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8E4459"/>
                                <w:kern w:val="0"/>
                                <w:sz w:val="34"/>
                                <w:szCs w:val="34"/>
                                <w14:ligatures w14:val="none"/>
                              </w:rPr>
                              <w:t>_________________________________</w:t>
                            </w:r>
                            <w:r w:rsidRPr="00DC51BC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8E4459"/>
                                <w:kern w:val="0"/>
                                <w:sz w:val="36"/>
                                <w:szCs w:val="36"/>
                                <w14:ligatures w14:val="none"/>
                              </w:rPr>
                              <w:t>______</w:t>
                            </w:r>
                          </w:p>
                          <w:p w14:paraId="09317471" w14:textId="77777777" w:rsidR="00EE242B" w:rsidRDefault="00EE242B" w:rsidP="00EE242B">
                            <w:pPr>
                              <w:spacing w:before="180" w:after="0" w:line="240" w:lineRule="auto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32594A"/>
                                <w:kern w:val="0"/>
                                <w:sz w:val="46"/>
                                <w:szCs w:val="46"/>
                                <w14:ligatures w14:val="none"/>
                              </w:rPr>
                            </w:pPr>
                            <w:r w:rsidRPr="00DC51BC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32594A"/>
                                <w:kern w:val="0"/>
                                <w:sz w:val="48"/>
                                <w:szCs w:val="48"/>
                                <w14:ligatures w14:val="none"/>
                              </w:rPr>
                              <w:t> </w:t>
                            </w:r>
                            <w:r w:rsidRPr="00DC51BC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32594A"/>
                                <w:kern w:val="0"/>
                                <w:sz w:val="46"/>
                                <w:szCs w:val="46"/>
                                <w14:ligatures w14:val="none"/>
                              </w:rPr>
                              <w:t xml:space="preserve">TOURISM BEST MANAGEMENT </w:t>
                            </w:r>
                            <w:r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32594A"/>
                                <w:kern w:val="0"/>
                                <w:sz w:val="46"/>
                                <w:szCs w:val="46"/>
                                <w14:ligatures w14:val="none"/>
                              </w:rPr>
                              <w:t>P</w:t>
                            </w:r>
                            <w:r w:rsidRPr="00DC51BC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32594A"/>
                                <w:kern w:val="0"/>
                                <w:sz w:val="46"/>
                                <w:szCs w:val="46"/>
                                <w14:ligatures w14:val="none"/>
                              </w:rPr>
                              <w:t>RACTICES</w:t>
                            </w:r>
                          </w:p>
                          <w:p w14:paraId="494CD763" w14:textId="77777777" w:rsidR="00EE242B" w:rsidRDefault="00EE242B" w:rsidP="00EE242B">
                            <w:pPr>
                              <w:spacing w:before="40" w:after="0" w:line="240" w:lineRule="auto"/>
                              <w:rPr>
                                <w:rFonts w:ascii="Calibri" w:eastAsia="Times New Roman" w:hAnsi="Calibri" w:cs="Calibri"/>
                                <w:b/>
                                <w:bCs/>
                                <w:i/>
                                <w:iCs/>
                                <w:color w:val="32594A"/>
                                <w:kern w:val="0"/>
                                <w:sz w:val="40"/>
                                <w:szCs w:val="40"/>
                                <w14:ligatures w14:val="none"/>
                              </w:rPr>
                            </w:pPr>
                            <w:r w:rsidRPr="00DC51BC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0"/>
                                <w:sz w:val="26"/>
                                <w:szCs w:val="26"/>
                                <w14:ligatures w14:val="none"/>
                              </w:rPr>
                              <w:t xml:space="preserve">  </w:t>
                            </w:r>
                            <w:r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000000"/>
                                <w:kern w:val="0"/>
                                <w:sz w:val="26"/>
                                <w:szCs w:val="26"/>
                                <w14:ligatures w14:val="none"/>
                              </w:rPr>
                              <w:t xml:space="preserve">                       </w:t>
                            </w:r>
                            <w:r w:rsidRPr="00DC51BC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i/>
                                <w:iCs/>
                                <w:color w:val="32594A"/>
                                <w:kern w:val="0"/>
                                <w:sz w:val="40"/>
                                <w:szCs w:val="40"/>
                                <w14:ligatures w14:val="none"/>
                              </w:rPr>
                              <w:t>Making tourism work for Juneau!</w:t>
                            </w:r>
                          </w:p>
                          <w:p w14:paraId="23EFBD9E" w14:textId="77777777" w:rsidR="00EE242B" w:rsidRPr="00DC51BC" w:rsidRDefault="00EE242B" w:rsidP="00EE242B">
                            <w:pPr>
                              <w:spacing w:before="40"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kern w:val="0"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DC51BC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8E4459"/>
                                <w:kern w:val="0"/>
                                <w:sz w:val="34"/>
                                <w:szCs w:val="34"/>
                                <w14:ligatures w14:val="none"/>
                              </w:rPr>
                              <w:t>________</w:t>
                            </w:r>
                            <w:r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8E4459"/>
                                <w:kern w:val="0"/>
                                <w:sz w:val="34"/>
                                <w:szCs w:val="34"/>
                                <w14:ligatures w14:val="none"/>
                              </w:rPr>
                              <w:t>_</w:t>
                            </w:r>
                            <w:r w:rsidRPr="00DC51BC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8E4459"/>
                                <w:kern w:val="0"/>
                                <w:sz w:val="34"/>
                                <w:szCs w:val="34"/>
                                <w14:ligatures w14:val="none"/>
                              </w:rPr>
                              <w:t>_________________________________</w:t>
                            </w:r>
                            <w:r w:rsidRPr="00DC51BC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color w:val="8E4459"/>
                                <w:kern w:val="0"/>
                                <w:sz w:val="36"/>
                                <w:szCs w:val="36"/>
                                <w14:ligatures w14:val="none"/>
                              </w:rPr>
                              <w:t>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7FD0CE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13.25pt;margin-top:0;width:426.75pt;height:121.85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" stroked="f">
                <v:textbox style="mso-fit-shape-to-text:t">
                  <w:txbxContent>
                    <w:p w14:paraId="5A9E6264" w14:textId="77777777" w:rsidR="00EE242B" w:rsidRPr="00DC51BC" w:rsidRDefault="00EE242B" w:rsidP="00EE242B">
                      <w:pPr>
                        <w:spacing w:before="80"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kern w:val="0"/>
                          <w:sz w:val="24"/>
                          <w:szCs w:val="24"/>
                          <w14:ligatures w14:val="none"/>
                        </w:rPr>
                      </w:pPr>
                      <w:r w:rsidRPr="00DC51BC">
                        <w:rPr>
                          <w:rFonts w:ascii="Calibri" w:eastAsia="Times New Roman" w:hAnsi="Calibri" w:cs="Calibri"/>
                          <w:b/>
                          <w:bCs/>
                          <w:color w:val="8E4459"/>
                          <w:kern w:val="0"/>
                          <w:sz w:val="34"/>
                          <w:szCs w:val="34"/>
                          <w14:ligatures w14:val="none"/>
                        </w:rPr>
                        <w:t>________</w:t>
                      </w:r>
                      <w:r>
                        <w:rPr>
                          <w:rFonts w:ascii="Calibri" w:eastAsia="Times New Roman" w:hAnsi="Calibri" w:cs="Calibri"/>
                          <w:b/>
                          <w:bCs/>
                          <w:color w:val="8E4459"/>
                          <w:kern w:val="0"/>
                          <w:sz w:val="34"/>
                          <w:szCs w:val="34"/>
                          <w14:ligatures w14:val="none"/>
                        </w:rPr>
                        <w:t>_</w:t>
                      </w:r>
                      <w:r w:rsidRPr="00DC51BC">
                        <w:rPr>
                          <w:rFonts w:ascii="Calibri" w:eastAsia="Times New Roman" w:hAnsi="Calibri" w:cs="Calibri"/>
                          <w:b/>
                          <w:bCs/>
                          <w:color w:val="8E4459"/>
                          <w:kern w:val="0"/>
                          <w:sz w:val="34"/>
                          <w:szCs w:val="34"/>
                          <w14:ligatures w14:val="none"/>
                        </w:rPr>
                        <w:t>_________________________________</w:t>
                      </w:r>
                      <w:r w:rsidRPr="00DC51BC">
                        <w:rPr>
                          <w:rFonts w:ascii="Calibri" w:eastAsia="Times New Roman" w:hAnsi="Calibri" w:cs="Calibri"/>
                          <w:b/>
                          <w:bCs/>
                          <w:color w:val="8E4459"/>
                          <w:kern w:val="0"/>
                          <w:sz w:val="36"/>
                          <w:szCs w:val="36"/>
                          <w14:ligatures w14:val="none"/>
                        </w:rPr>
                        <w:t>______</w:t>
                      </w:r>
                    </w:p>
                    <w:p w14:paraId="09317471" w14:textId="77777777" w:rsidR="00EE242B" w:rsidRDefault="00EE242B" w:rsidP="00EE242B">
                      <w:pPr>
                        <w:spacing w:before="180" w:after="0" w:line="240" w:lineRule="auto"/>
                        <w:rPr>
                          <w:rFonts w:ascii="Calibri" w:eastAsia="Times New Roman" w:hAnsi="Calibri" w:cs="Calibri"/>
                          <w:b/>
                          <w:bCs/>
                          <w:color w:val="32594A"/>
                          <w:kern w:val="0"/>
                          <w:sz w:val="46"/>
                          <w:szCs w:val="46"/>
                          <w14:ligatures w14:val="none"/>
                        </w:rPr>
                      </w:pPr>
                      <w:r w:rsidRPr="00DC51BC">
                        <w:rPr>
                          <w:rFonts w:ascii="Calibri" w:eastAsia="Times New Roman" w:hAnsi="Calibri" w:cs="Calibri"/>
                          <w:b/>
                          <w:bCs/>
                          <w:color w:val="32594A"/>
                          <w:kern w:val="0"/>
                          <w:sz w:val="48"/>
                          <w:szCs w:val="48"/>
                          <w14:ligatures w14:val="none"/>
                        </w:rPr>
                        <w:t> </w:t>
                      </w:r>
                      <w:r w:rsidRPr="00DC51BC">
                        <w:rPr>
                          <w:rFonts w:ascii="Calibri" w:eastAsia="Times New Roman" w:hAnsi="Calibri" w:cs="Calibri"/>
                          <w:b/>
                          <w:bCs/>
                          <w:color w:val="32594A"/>
                          <w:kern w:val="0"/>
                          <w:sz w:val="46"/>
                          <w:szCs w:val="46"/>
                          <w14:ligatures w14:val="none"/>
                        </w:rPr>
                        <w:t xml:space="preserve">TOURISM BEST MANAGEMENT </w:t>
                      </w:r>
                      <w:r>
                        <w:rPr>
                          <w:rFonts w:ascii="Calibri" w:eastAsia="Times New Roman" w:hAnsi="Calibri" w:cs="Calibri"/>
                          <w:b/>
                          <w:bCs/>
                          <w:color w:val="32594A"/>
                          <w:kern w:val="0"/>
                          <w:sz w:val="46"/>
                          <w:szCs w:val="46"/>
                          <w14:ligatures w14:val="none"/>
                        </w:rPr>
                        <w:t>P</w:t>
                      </w:r>
                      <w:r w:rsidRPr="00DC51BC">
                        <w:rPr>
                          <w:rFonts w:ascii="Calibri" w:eastAsia="Times New Roman" w:hAnsi="Calibri" w:cs="Calibri"/>
                          <w:b/>
                          <w:bCs/>
                          <w:color w:val="32594A"/>
                          <w:kern w:val="0"/>
                          <w:sz w:val="46"/>
                          <w:szCs w:val="46"/>
                          <w14:ligatures w14:val="none"/>
                        </w:rPr>
                        <w:t>RACTICES</w:t>
                      </w:r>
                    </w:p>
                    <w:p w14:paraId="494CD763" w14:textId="77777777" w:rsidR="00EE242B" w:rsidRDefault="00EE242B" w:rsidP="00EE242B">
                      <w:pPr>
                        <w:spacing w:before="40" w:after="0" w:line="240" w:lineRule="auto"/>
                        <w:rPr>
                          <w:rFonts w:ascii="Calibri" w:eastAsia="Times New Roman" w:hAnsi="Calibri" w:cs="Calibri"/>
                          <w:b/>
                          <w:bCs/>
                          <w:i/>
                          <w:iCs/>
                          <w:color w:val="32594A"/>
                          <w:kern w:val="0"/>
                          <w:sz w:val="40"/>
                          <w:szCs w:val="40"/>
                          <w14:ligatures w14:val="none"/>
                        </w:rPr>
                      </w:pPr>
                      <w:r w:rsidRPr="00DC51BC"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0"/>
                          <w:sz w:val="26"/>
                          <w:szCs w:val="26"/>
                          <w14:ligatures w14:val="none"/>
                        </w:rPr>
                        <w:t xml:space="preserve">  </w:t>
                      </w:r>
                      <w:r>
                        <w:rPr>
                          <w:rFonts w:ascii="Calibri" w:eastAsia="Times New Roman" w:hAnsi="Calibri" w:cs="Calibri"/>
                          <w:b/>
                          <w:bCs/>
                          <w:color w:val="000000"/>
                          <w:kern w:val="0"/>
                          <w:sz w:val="26"/>
                          <w:szCs w:val="26"/>
                          <w14:ligatures w14:val="none"/>
                        </w:rPr>
                        <w:t xml:space="preserve">                       </w:t>
                      </w:r>
                      <w:r w:rsidRPr="00DC51BC">
                        <w:rPr>
                          <w:rFonts w:ascii="Calibri" w:eastAsia="Times New Roman" w:hAnsi="Calibri" w:cs="Calibri"/>
                          <w:b/>
                          <w:bCs/>
                          <w:i/>
                          <w:iCs/>
                          <w:color w:val="32594A"/>
                          <w:kern w:val="0"/>
                          <w:sz w:val="40"/>
                          <w:szCs w:val="40"/>
                          <w14:ligatures w14:val="none"/>
                        </w:rPr>
                        <w:t>Making tourism work for Juneau!</w:t>
                      </w:r>
                    </w:p>
                    <w:p w14:paraId="23EFBD9E" w14:textId="77777777" w:rsidR="00EE242B" w:rsidRPr="00DC51BC" w:rsidRDefault="00EE242B" w:rsidP="00EE242B">
                      <w:pPr>
                        <w:spacing w:before="40"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kern w:val="0"/>
                          <w:sz w:val="24"/>
                          <w:szCs w:val="24"/>
                          <w14:ligatures w14:val="none"/>
                        </w:rPr>
                      </w:pPr>
                      <w:r w:rsidRPr="00DC51BC">
                        <w:rPr>
                          <w:rFonts w:ascii="Calibri" w:eastAsia="Times New Roman" w:hAnsi="Calibri" w:cs="Calibri"/>
                          <w:b/>
                          <w:bCs/>
                          <w:color w:val="8E4459"/>
                          <w:kern w:val="0"/>
                          <w:sz w:val="34"/>
                          <w:szCs w:val="34"/>
                          <w14:ligatures w14:val="none"/>
                        </w:rPr>
                        <w:t>________</w:t>
                      </w:r>
                      <w:r>
                        <w:rPr>
                          <w:rFonts w:ascii="Calibri" w:eastAsia="Times New Roman" w:hAnsi="Calibri" w:cs="Calibri"/>
                          <w:b/>
                          <w:bCs/>
                          <w:color w:val="8E4459"/>
                          <w:kern w:val="0"/>
                          <w:sz w:val="34"/>
                          <w:szCs w:val="34"/>
                          <w14:ligatures w14:val="none"/>
                        </w:rPr>
                        <w:t>_</w:t>
                      </w:r>
                      <w:r w:rsidRPr="00DC51BC">
                        <w:rPr>
                          <w:rFonts w:ascii="Calibri" w:eastAsia="Times New Roman" w:hAnsi="Calibri" w:cs="Calibri"/>
                          <w:b/>
                          <w:bCs/>
                          <w:color w:val="8E4459"/>
                          <w:kern w:val="0"/>
                          <w:sz w:val="34"/>
                          <w:szCs w:val="34"/>
                          <w14:ligatures w14:val="none"/>
                        </w:rPr>
                        <w:t>_________________________________</w:t>
                      </w:r>
                      <w:r w:rsidRPr="00DC51BC">
                        <w:rPr>
                          <w:rFonts w:ascii="Calibri" w:eastAsia="Times New Roman" w:hAnsi="Calibri" w:cs="Calibri"/>
                          <w:b/>
                          <w:bCs/>
                          <w:color w:val="8E4459"/>
                          <w:kern w:val="0"/>
                          <w:sz w:val="36"/>
                          <w:szCs w:val="36"/>
                          <w14:ligatures w14:val="none"/>
                        </w:rPr>
                        <w:t>______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8C18C8D" w14:textId="77777777" w:rsidR="00EE242B" w:rsidRPr="00EE242B" w:rsidRDefault="00EE242B" w:rsidP="00EE242B">
      <w:pPr>
        <w:spacing w:after="0" w:line="240" w:lineRule="auto"/>
        <w:ind w:left="540" w:hanging="360"/>
        <w:rPr>
          <w:rFonts w:ascii="Calibri" w:hAnsi="Calibri" w:cs="Calibri"/>
          <w:b/>
          <w:bCs/>
          <w:sz w:val="28"/>
          <w:szCs w:val="28"/>
        </w:rPr>
      </w:pPr>
      <w:r w:rsidRPr="00EE242B">
        <w:rPr>
          <w:rFonts w:ascii="Calibri" w:hAnsi="Calibri" w:cs="Calibri"/>
          <w:b/>
          <w:bCs/>
          <w:sz w:val="28"/>
          <w:szCs w:val="28"/>
        </w:rPr>
        <w:t>REQUEST FOR PROPOSAL</w:t>
      </w:r>
    </w:p>
    <w:p w14:paraId="6BB0F528" w14:textId="46CB51F8" w:rsidR="00EE242B" w:rsidRPr="00EE242B" w:rsidRDefault="00EE242B" w:rsidP="00EE242B">
      <w:pPr>
        <w:spacing w:after="0" w:line="240" w:lineRule="auto"/>
        <w:ind w:left="540" w:hanging="360"/>
        <w:rPr>
          <w:rFonts w:ascii="Calibri" w:hAnsi="Calibri" w:cs="Calibri"/>
          <w:b/>
          <w:bCs/>
          <w:sz w:val="28"/>
          <w:szCs w:val="28"/>
        </w:rPr>
      </w:pPr>
      <w:r w:rsidRPr="00EE242B">
        <w:rPr>
          <w:rFonts w:ascii="Calibri" w:hAnsi="Calibri" w:cs="Calibri"/>
          <w:b/>
          <w:bCs/>
          <w:sz w:val="28"/>
          <w:szCs w:val="28"/>
        </w:rPr>
        <w:t>RESPONSE DEADLINE: 5:00 p.m. on Thursday, February 20, 2025</w:t>
      </w:r>
    </w:p>
    <w:p w14:paraId="7EB9F162" w14:textId="77777777" w:rsidR="00EE242B" w:rsidRDefault="00EE242B" w:rsidP="00EE242B">
      <w:pPr>
        <w:spacing w:after="0" w:line="240" w:lineRule="auto"/>
        <w:ind w:left="180" w:right="270"/>
        <w:rPr>
          <w:rFonts w:ascii="Calibri" w:hAnsi="Calibri" w:cs="Calibri"/>
          <w:b/>
          <w:bCs/>
          <w:sz w:val="20"/>
          <w:szCs w:val="20"/>
        </w:rPr>
      </w:pPr>
    </w:p>
    <w:p w14:paraId="3E6E29C6" w14:textId="361BC234" w:rsidR="00EE242B" w:rsidRPr="002B4E4A" w:rsidRDefault="00EE242B" w:rsidP="00EE242B">
      <w:pPr>
        <w:spacing w:after="0" w:line="240" w:lineRule="auto"/>
        <w:ind w:left="180" w:right="270"/>
        <w:rPr>
          <w:rFonts w:ascii="Calibri" w:hAnsi="Calibri" w:cs="Calibri"/>
          <w:sz w:val="20"/>
          <w:szCs w:val="20"/>
        </w:rPr>
      </w:pPr>
      <w:r w:rsidRPr="002B4E4A">
        <w:rPr>
          <w:rFonts w:ascii="Calibri" w:hAnsi="Calibri" w:cs="Calibri"/>
          <w:b/>
          <w:bCs/>
          <w:sz w:val="20"/>
          <w:szCs w:val="20"/>
        </w:rPr>
        <w:t>Project Description:</w:t>
      </w:r>
      <w:r w:rsidRPr="002B4E4A">
        <w:rPr>
          <w:rFonts w:ascii="Calibri" w:hAnsi="Calibri" w:cs="Calibri"/>
          <w:sz w:val="20"/>
          <w:szCs w:val="20"/>
        </w:rPr>
        <w:t xml:space="preserve">  The Crossing Guard Program is a seasonal contract during the summer visitor</w:t>
      </w:r>
      <w:r>
        <w:rPr>
          <w:rFonts w:ascii="Calibri" w:hAnsi="Calibri" w:cs="Calibri"/>
          <w:sz w:val="20"/>
          <w:szCs w:val="20"/>
        </w:rPr>
        <w:t xml:space="preserve"> </w:t>
      </w:r>
      <w:r w:rsidRPr="002B4E4A">
        <w:rPr>
          <w:rFonts w:ascii="Calibri" w:hAnsi="Calibri" w:cs="Calibri"/>
          <w:sz w:val="20"/>
          <w:szCs w:val="20"/>
        </w:rPr>
        <w:t>season administered by Tourism Best Management Practices</w:t>
      </w:r>
      <w:r>
        <w:rPr>
          <w:rFonts w:ascii="Calibri" w:hAnsi="Calibri" w:cs="Calibri"/>
          <w:sz w:val="20"/>
          <w:szCs w:val="20"/>
        </w:rPr>
        <w:t xml:space="preserve"> (under the umbrella of </w:t>
      </w:r>
      <w:r w:rsidRPr="002B4E4A">
        <w:rPr>
          <w:rFonts w:ascii="Calibri" w:hAnsi="Calibri" w:cs="Calibri"/>
          <w:sz w:val="20"/>
          <w:szCs w:val="20"/>
        </w:rPr>
        <w:t>Travel Juneau</w:t>
      </w:r>
      <w:r>
        <w:rPr>
          <w:rFonts w:ascii="Calibri" w:hAnsi="Calibri" w:cs="Calibri"/>
          <w:sz w:val="20"/>
          <w:szCs w:val="20"/>
        </w:rPr>
        <w:t>)</w:t>
      </w:r>
      <w:r w:rsidRPr="002B4E4A">
        <w:rPr>
          <w:rFonts w:ascii="Calibri" w:hAnsi="Calibri" w:cs="Calibri"/>
          <w:sz w:val="20"/>
          <w:szCs w:val="20"/>
        </w:rPr>
        <w:t>.  The initial contract is effective</w:t>
      </w:r>
      <w:r>
        <w:rPr>
          <w:rFonts w:ascii="Calibri" w:hAnsi="Calibri" w:cs="Calibri"/>
          <w:sz w:val="20"/>
          <w:szCs w:val="20"/>
        </w:rPr>
        <w:t xml:space="preserve"> </w:t>
      </w:r>
      <w:r w:rsidRPr="002B4E4A">
        <w:rPr>
          <w:rFonts w:ascii="Calibri" w:hAnsi="Calibri" w:cs="Calibri"/>
          <w:sz w:val="20"/>
          <w:szCs w:val="20"/>
        </w:rPr>
        <w:t>July 1, 202</w:t>
      </w:r>
      <w:r w:rsidR="00A13E5E">
        <w:rPr>
          <w:rFonts w:ascii="Calibri" w:hAnsi="Calibri" w:cs="Calibri"/>
          <w:sz w:val="20"/>
          <w:szCs w:val="20"/>
        </w:rPr>
        <w:t>5</w:t>
      </w:r>
      <w:r w:rsidRPr="002B4E4A">
        <w:rPr>
          <w:rFonts w:ascii="Calibri" w:hAnsi="Calibri" w:cs="Calibri"/>
          <w:sz w:val="20"/>
          <w:szCs w:val="20"/>
        </w:rPr>
        <w:t>, through October 31, 202</w:t>
      </w:r>
      <w:r w:rsidR="00A13E5E">
        <w:rPr>
          <w:rFonts w:ascii="Calibri" w:hAnsi="Calibri" w:cs="Calibri"/>
          <w:sz w:val="20"/>
          <w:szCs w:val="20"/>
        </w:rPr>
        <w:t>6</w:t>
      </w:r>
      <w:r w:rsidRPr="002B4E4A">
        <w:rPr>
          <w:rFonts w:ascii="Calibri" w:hAnsi="Calibri" w:cs="Calibri"/>
          <w:sz w:val="20"/>
          <w:szCs w:val="20"/>
        </w:rPr>
        <w:t xml:space="preserve">; subsequent contract periods will be effective April 20 through October 10 (dates may be adjusted according to the cruise ship calendar).   </w:t>
      </w:r>
    </w:p>
    <w:p w14:paraId="23455D6F" w14:textId="77777777" w:rsidR="00EE242B" w:rsidRPr="002B4E4A" w:rsidRDefault="00EE242B" w:rsidP="00EE242B">
      <w:pPr>
        <w:spacing w:after="0" w:line="240" w:lineRule="auto"/>
        <w:ind w:left="540" w:hanging="360"/>
        <w:rPr>
          <w:rFonts w:ascii="Calibri" w:hAnsi="Calibri" w:cs="Calibri"/>
          <w:sz w:val="20"/>
          <w:szCs w:val="20"/>
        </w:rPr>
      </w:pPr>
    </w:p>
    <w:p w14:paraId="371E3042" w14:textId="77777777" w:rsidR="00EE242B" w:rsidRPr="002B4E4A" w:rsidRDefault="00EE242B" w:rsidP="00EE242B">
      <w:pPr>
        <w:spacing w:after="0" w:line="240" w:lineRule="auto"/>
        <w:ind w:left="180"/>
        <w:rPr>
          <w:rFonts w:ascii="Calibri" w:hAnsi="Calibri" w:cs="Calibri"/>
          <w:sz w:val="20"/>
          <w:szCs w:val="20"/>
        </w:rPr>
      </w:pPr>
      <w:r w:rsidRPr="002B4E4A">
        <w:rPr>
          <w:rFonts w:ascii="Calibri" w:hAnsi="Calibri" w:cs="Calibri"/>
          <w:b/>
          <w:bCs/>
          <w:sz w:val="20"/>
          <w:szCs w:val="20"/>
        </w:rPr>
        <w:t>Project Objectives:</w:t>
      </w:r>
      <w:r w:rsidRPr="002B4E4A">
        <w:rPr>
          <w:rFonts w:ascii="Calibri" w:hAnsi="Calibri" w:cs="Calibri"/>
          <w:sz w:val="20"/>
          <w:szCs w:val="20"/>
        </w:rPr>
        <w:t xml:space="preserve">  The objectives of the crossing guard program are to increase pedestrian safety and improve traffic congestion along the main traffic corridor on South Franklin Street. These </w:t>
      </w:r>
      <w:r>
        <w:rPr>
          <w:rFonts w:ascii="Calibri" w:hAnsi="Calibri" w:cs="Calibri"/>
          <w:sz w:val="20"/>
          <w:szCs w:val="20"/>
        </w:rPr>
        <w:t xml:space="preserve">objectives </w:t>
      </w:r>
      <w:r w:rsidRPr="002B4E4A">
        <w:rPr>
          <w:rFonts w:ascii="Calibri" w:hAnsi="Calibri" w:cs="Calibri"/>
          <w:sz w:val="20"/>
          <w:szCs w:val="20"/>
        </w:rPr>
        <w:t>will be met by:</w:t>
      </w:r>
    </w:p>
    <w:p w14:paraId="1C2E3204" w14:textId="77777777" w:rsidR="00EE242B" w:rsidRPr="002B4E4A" w:rsidRDefault="00EE242B" w:rsidP="00EE242B">
      <w:pPr>
        <w:pStyle w:val="ListParagraph"/>
        <w:numPr>
          <w:ilvl w:val="0"/>
          <w:numId w:val="3"/>
        </w:numPr>
        <w:spacing w:after="0" w:line="240" w:lineRule="auto"/>
        <w:ind w:left="540" w:right="446"/>
        <w:rPr>
          <w:rFonts w:ascii="Calibri" w:hAnsi="Calibri" w:cs="Calibri"/>
          <w:sz w:val="20"/>
          <w:szCs w:val="20"/>
        </w:rPr>
      </w:pPr>
      <w:r w:rsidRPr="002B4E4A">
        <w:rPr>
          <w:rFonts w:ascii="Calibri" w:hAnsi="Calibri" w:cs="Calibri"/>
          <w:sz w:val="20"/>
          <w:szCs w:val="20"/>
        </w:rPr>
        <w:t xml:space="preserve">facilitating safe traffic flow in the downtown area. </w:t>
      </w:r>
    </w:p>
    <w:p w14:paraId="3341755B" w14:textId="77777777" w:rsidR="00EE242B" w:rsidRPr="002B4E4A" w:rsidRDefault="00EE242B" w:rsidP="00EE242B">
      <w:pPr>
        <w:pStyle w:val="ListParagraph"/>
        <w:numPr>
          <w:ilvl w:val="0"/>
          <w:numId w:val="3"/>
        </w:numPr>
        <w:spacing w:after="0" w:line="240" w:lineRule="auto"/>
        <w:ind w:left="540" w:right="446"/>
        <w:rPr>
          <w:rFonts w:ascii="Calibri" w:hAnsi="Calibri" w:cs="Calibri"/>
          <w:sz w:val="20"/>
          <w:szCs w:val="20"/>
        </w:rPr>
      </w:pPr>
      <w:r w:rsidRPr="002B4E4A">
        <w:rPr>
          <w:rFonts w:ascii="Calibri" w:hAnsi="Calibri" w:cs="Calibri"/>
          <w:sz w:val="20"/>
          <w:szCs w:val="20"/>
        </w:rPr>
        <w:t>encouraging pedestrians to stay on the sidewalks.</w:t>
      </w:r>
    </w:p>
    <w:p w14:paraId="713FFCD9" w14:textId="77777777" w:rsidR="00EE242B" w:rsidRPr="002B4E4A" w:rsidRDefault="00EE242B" w:rsidP="00EE242B">
      <w:pPr>
        <w:pStyle w:val="ListParagraph"/>
        <w:numPr>
          <w:ilvl w:val="0"/>
          <w:numId w:val="3"/>
        </w:numPr>
        <w:spacing w:after="0" w:line="240" w:lineRule="auto"/>
        <w:ind w:left="540" w:right="446"/>
        <w:rPr>
          <w:rFonts w:ascii="Calibri" w:hAnsi="Calibri" w:cs="Calibri"/>
          <w:sz w:val="20"/>
          <w:szCs w:val="20"/>
        </w:rPr>
      </w:pPr>
      <w:r w:rsidRPr="002B4E4A">
        <w:rPr>
          <w:rFonts w:ascii="Calibri" w:hAnsi="Calibri" w:cs="Calibri"/>
          <w:sz w:val="20"/>
          <w:szCs w:val="20"/>
        </w:rPr>
        <w:t>encouraging pedestrians to use designated crosswalks.</w:t>
      </w:r>
    </w:p>
    <w:p w14:paraId="3ED3F40A" w14:textId="77777777" w:rsidR="00EE242B" w:rsidRPr="002B4E4A" w:rsidRDefault="00EE242B" w:rsidP="00EE242B">
      <w:pPr>
        <w:pStyle w:val="ListParagraph"/>
        <w:numPr>
          <w:ilvl w:val="0"/>
          <w:numId w:val="3"/>
        </w:numPr>
        <w:spacing w:after="0" w:line="240" w:lineRule="auto"/>
        <w:ind w:left="540" w:right="446"/>
        <w:rPr>
          <w:rFonts w:ascii="Calibri" w:hAnsi="Calibri" w:cs="Calibri"/>
          <w:sz w:val="20"/>
          <w:szCs w:val="20"/>
        </w:rPr>
      </w:pPr>
      <w:r w:rsidRPr="002B4E4A">
        <w:rPr>
          <w:rFonts w:ascii="Calibri" w:hAnsi="Calibri" w:cs="Calibri"/>
          <w:sz w:val="20"/>
          <w:szCs w:val="20"/>
        </w:rPr>
        <w:t>controlling locations where pedestrians can cross the street.</w:t>
      </w:r>
    </w:p>
    <w:p w14:paraId="6445E9FD" w14:textId="77777777" w:rsidR="00EE242B" w:rsidRPr="002B4E4A" w:rsidRDefault="00EE242B" w:rsidP="00EE242B">
      <w:pPr>
        <w:spacing w:after="0" w:line="240" w:lineRule="auto"/>
        <w:ind w:left="540" w:hanging="360"/>
        <w:rPr>
          <w:rFonts w:ascii="Calibri" w:hAnsi="Calibri" w:cs="Calibri"/>
          <w:sz w:val="20"/>
          <w:szCs w:val="20"/>
        </w:rPr>
      </w:pPr>
    </w:p>
    <w:p w14:paraId="130BA752" w14:textId="77777777" w:rsidR="00EE242B" w:rsidRDefault="00EE242B" w:rsidP="00EE242B">
      <w:pPr>
        <w:tabs>
          <w:tab w:val="left" w:pos="180"/>
        </w:tabs>
        <w:spacing w:after="0" w:line="240" w:lineRule="auto"/>
        <w:ind w:left="180"/>
        <w:rPr>
          <w:rFonts w:ascii="Calibri" w:hAnsi="Calibri" w:cs="Calibri"/>
          <w:sz w:val="20"/>
          <w:szCs w:val="20"/>
        </w:rPr>
      </w:pPr>
      <w:r w:rsidRPr="002B4E4A">
        <w:rPr>
          <w:rFonts w:ascii="Calibri" w:hAnsi="Calibri" w:cs="Calibri"/>
          <w:b/>
          <w:bCs/>
          <w:sz w:val="20"/>
          <w:szCs w:val="20"/>
        </w:rPr>
        <w:t xml:space="preserve">Project Scope:  </w:t>
      </w:r>
      <w:r w:rsidRPr="002B4E4A">
        <w:rPr>
          <w:rFonts w:ascii="Calibri" w:hAnsi="Calibri" w:cs="Calibri"/>
          <w:sz w:val="20"/>
          <w:szCs w:val="20"/>
        </w:rPr>
        <w:t xml:space="preserve">The scope of the project is to provide crossing guard coverage between 8 a.m. and 8 p.m. at the following locations, based on ship docking dates and times, as well as anticipated pedestrian traffic, as shown in the Cruise Line Agencies </w:t>
      </w:r>
    </w:p>
    <w:p w14:paraId="692E7E40" w14:textId="4A289C94" w:rsidR="00EE242B" w:rsidRPr="002B4E4A" w:rsidRDefault="00EE242B" w:rsidP="00EE242B">
      <w:pPr>
        <w:tabs>
          <w:tab w:val="left" w:pos="180"/>
        </w:tabs>
        <w:spacing w:after="0" w:line="240" w:lineRule="auto"/>
        <w:ind w:left="180"/>
        <w:rPr>
          <w:rFonts w:ascii="Calibri" w:hAnsi="Calibri" w:cs="Calibri"/>
          <w:sz w:val="20"/>
          <w:szCs w:val="20"/>
        </w:rPr>
      </w:pPr>
      <w:r w:rsidRPr="002B4E4A">
        <w:rPr>
          <w:rFonts w:ascii="Calibri" w:hAnsi="Calibri" w:cs="Calibri"/>
          <w:sz w:val="20"/>
          <w:szCs w:val="20"/>
        </w:rPr>
        <w:t>of Alaska cruise ship calendars for 2024 and 2025:</w:t>
      </w:r>
    </w:p>
    <w:p w14:paraId="37AE5A4E" w14:textId="77777777" w:rsidR="00EE242B" w:rsidRPr="002B4E4A" w:rsidRDefault="00EE242B" w:rsidP="00EE242B">
      <w:pPr>
        <w:pStyle w:val="ListParagraph"/>
        <w:numPr>
          <w:ilvl w:val="1"/>
          <w:numId w:val="2"/>
        </w:numPr>
        <w:spacing w:after="0" w:line="240" w:lineRule="auto"/>
        <w:ind w:left="540" w:right="446"/>
        <w:rPr>
          <w:rFonts w:ascii="Calibri" w:hAnsi="Calibri" w:cs="Calibri"/>
          <w:sz w:val="20"/>
          <w:szCs w:val="20"/>
        </w:rPr>
      </w:pPr>
      <w:r w:rsidRPr="002B4E4A">
        <w:rPr>
          <w:rFonts w:ascii="Calibri" w:hAnsi="Calibri" w:cs="Calibri"/>
          <w:sz w:val="20"/>
          <w:szCs w:val="20"/>
        </w:rPr>
        <w:t>The S Franklin Street crosswalk at the Archie VanWinkle Memorial (Goldbelt Tram) area</w:t>
      </w:r>
    </w:p>
    <w:p w14:paraId="36CB423F" w14:textId="77777777" w:rsidR="00EE242B" w:rsidRPr="002B4E4A" w:rsidRDefault="00EE242B" w:rsidP="00EE242B">
      <w:pPr>
        <w:pStyle w:val="ListParagraph"/>
        <w:numPr>
          <w:ilvl w:val="1"/>
          <w:numId w:val="2"/>
        </w:numPr>
        <w:spacing w:after="0" w:line="240" w:lineRule="auto"/>
        <w:ind w:left="540" w:right="446"/>
        <w:rPr>
          <w:rFonts w:ascii="Calibri" w:hAnsi="Calibri" w:cs="Calibri"/>
          <w:sz w:val="20"/>
          <w:szCs w:val="20"/>
        </w:rPr>
      </w:pPr>
      <w:r w:rsidRPr="002B4E4A">
        <w:rPr>
          <w:rFonts w:ascii="Calibri" w:hAnsi="Calibri" w:cs="Calibri"/>
          <w:sz w:val="20"/>
          <w:szCs w:val="20"/>
        </w:rPr>
        <w:t>The S Franklin Street crosswalk at the west end of the Columbia Lot (by the People’s Wharf building)</w:t>
      </w:r>
    </w:p>
    <w:p w14:paraId="2EB9318C" w14:textId="77777777" w:rsidR="00EE242B" w:rsidRPr="002B4E4A" w:rsidRDefault="00EE242B" w:rsidP="00EE242B">
      <w:pPr>
        <w:pStyle w:val="ListParagraph"/>
        <w:numPr>
          <w:ilvl w:val="1"/>
          <w:numId w:val="2"/>
        </w:numPr>
        <w:spacing w:after="0" w:line="240" w:lineRule="auto"/>
        <w:ind w:left="540" w:right="446"/>
        <w:rPr>
          <w:rFonts w:ascii="Calibri" w:hAnsi="Calibri" w:cs="Calibri"/>
          <w:sz w:val="20"/>
          <w:szCs w:val="20"/>
        </w:rPr>
      </w:pPr>
      <w:r w:rsidRPr="002B4E4A">
        <w:rPr>
          <w:rFonts w:ascii="Calibri" w:hAnsi="Calibri" w:cs="Calibri"/>
          <w:sz w:val="20"/>
          <w:szCs w:val="20"/>
        </w:rPr>
        <w:t>The S Franklin Street crosswalk at the Elizabeth Peratrovich Plaza area</w:t>
      </w:r>
    </w:p>
    <w:p w14:paraId="11AE865A" w14:textId="77777777" w:rsidR="00EE242B" w:rsidRPr="002B4E4A" w:rsidRDefault="00EE242B" w:rsidP="00EE242B">
      <w:pPr>
        <w:pStyle w:val="ListParagraph"/>
        <w:numPr>
          <w:ilvl w:val="1"/>
          <w:numId w:val="2"/>
        </w:numPr>
        <w:spacing w:after="0" w:line="240" w:lineRule="auto"/>
        <w:ind w:left="540" w:right="446"/>
        <w:rPr>
          <w:rFonts w:ascii="Calibri" w:hAnsi="Calibri" w:cs="Calibri"/>
          <w:sz w:val="20"/>
          <w:szCs w:val="20"/>
        </w:rPr>
      </w:pPr>
      <w:r w:rsidRPr="002B4E4A">
        <w:rPr>
          <w:rFonts w:ascii="Calibri" w:hAnsi="Calibri" w:cs="Calibri"/>
          <w:sz w:val="20"/>
          <w:szCs w:val="20"/>
        </w:rPr>
        <w:t>The Marine Way crosswalk at the east end of Marine Park (near the parking garage)</w:t>
      </w:r>
    </w:p>
    <w:p w14:paraId="6F64F0E7" w14:textId="77777777" w:rsidR="00EE242B" w:rsidRPr="002B4E4A" w:rsidRDefault="00EE242B" w:rsidP="00EE242B">
      <w:pPr>
        <w:pStyle w:val="ListParagraph"/>
        <w:numPr>
          <w:ilvl w:val="1"/>
          <w:numId w:val="2"/>
        </w:numPr>
        <w:spacing w:after="0" w:line="240" w:lineRule="auto"/>
        <w:ind w:left="540" w:right="446"/>
        <w:rPr>
          <w:rFonts w:ascii="Calibri" w:hAnsi="Calibri" w:cs="Calibri"/>
          <w:sz w:val="20"/>
          <w:szCs w:val="20"/>
        </w:rPr>
      </w:pPr>
      <w:r w:rsidRPr="002B4E4A">
        <w:rPr>
          <w:rFonts w:ascii="Calibri" w:hAnsi="Calibri" w:cs="Calibri"/>
          <w:sz w:val="20"/>
          <w:szCs w:val="20"/>
        </w:rPr>
        <w:t>The Marine Way crosswalk at the west end of Marine Park (near the pavilion)</w:t>
      </w:r>
    </w:p>
    <w:p w14:paraId="0E7AAF54" w14:textId="77777777" w:rsidR="00EE242B" w:rsidRPr="002B4E4A" w:rsidRDefault="00EE242B" w:rsidP="00EE242B">
      <w:pPr>
        <w:pStyle w:val="ListParagraph"/>
        <w:spacing w:after="0" w:line="240" w:lineRule="auto"/>
        <w:ind w:left="540" w:hanging="360"/>
        <w:rPr>
          <w:rFonts w:ascii="Calibri" w:hAnsi="Calibri" w:cs="Calibri"/>
          <w:sz w:val="20"/>
          <w:szCs w:val="20"/>
        </w:rPr>
      </w:pPr>
    </w:p>
    <w:p w14:paraId="13A4E217" w14:textId="77777777" w:rsidR="00EE242B" w:rsidRPr="002B4E4A" w:rsidRDefault="00EE242B" w:rsidP="00EE242B">
      <w:pPr>
        <w:spacing w:after="0" w:line="240" w:lineRule="auto"/>
        <w:ind w:left="540" w:hanging="360"/>
        <w:rPr>
          <w:rFonts w:ascii="Calibri" w:hAnsi="Calibri" w:cs="Calibri"/>
          <w:b/>
          <w:bCs/>
          <w:sz w:val="20"/>
          <w:szCs w:val="20"/>
        </w:rPr>
      </w:pPr>
      <w:r w:rsidRPr="002B4E4A">
        <w:rPr>
          <w:rFonts w:ascii="Calibri" w:hAnsi="Calibri" w:cs="Calibri"/>
          <w:b/>
          <w:bCs/>
          <w:sz w:val="20"/>
          <w:szCs w:val="20"/>
        </w:rPr>
        <w:t>Project Requirements:</w:t>
      </w:r>
    </w:p>
    <w:p w14:paraId="37824527" w14:textId="77777777" w:rsidR="00EE242B" w:rsidRPr="002B4E4A" w:rsidRDefault="00EE242B" w:rsidP="00EE242B">
      <w:pPr>
        <w:pStyle w:val="ListParagraph"/>
        <w:numPr>
          <w:ilvl w:val="0"/>
          <w:numId w:val="1"/>
        </w:numPr>
        <w:spacing w:after="0" w:line="240" w:lineRule="auto"/>
        <w:ind w:left="540" w:right="446"/>
        <w:rPr>
          <w:rFonts w:ascii="Calibri" w:hAnsi="Calibri" w:cs="Calibri"/>
          <w:b/>
          <w:bCs/>
          <w:sz w:val="20"/>
          <w:szCs w:val="20"/>
        </w:rPr>
      </w:pPr>
      <w:r w:rsidRPr="002B4E4A">
        <w:rPr>
          <w:rFonts w:ascii="Calibri" w:hAnsi="Calibri" w:cs="Calibri"/>
          <w:sz w:val="20"/>
          <w:szCs w:val="20"/>
        </w:rPr>
        <w:t>All crossing guard employees will complete the Alaska Department of Transportation &amp; Public Facilities Flagger Training Class before their initial shifts.</w:t>
      </w:r>
    </w:p>
    <w:p w14:paraId="1BA3B6DF" w14:textId="77777777" w:rsidR="00EE242B" w:rsidRPr="002B4E4A" w:rsidRDefault="00EE242B" w:rsidP="00EE242B">
      <w:pPr>
        <w:pStyle w:val="ListParagraph"/>
        <w:numPr>
          <w:ilvl w:val="0"/>
          <w:numId w:val="1"/>
        </w:numPr>
        <w:spacing w:after="0" w:line="240" w:lineRule="auto"/>
        <w:ind w:left="540" w:right="446"/>
        <w:rPr>
          <w:rFonts w:ascii="Calibri" w:hAnsi="Calibri" w:cs="Calibri"/>
          <w:b/>
          <w:bCs/>
          <w:sz w:val="20"/>
          <w:szCs w:val="20"/>
        </w:rPr>
      </w:pPr>
      <w:r w:rsidRPr="002B4E4A">
        <w:rPr>
          <w:rFonts w:ascii="Calibri" w:hAnsi="Calibri" w:cs="Calibri"/>
          <w:sz w:val="20"/>
          <w:szCs w:val="20"/>
        </w:rPr>
        <w:t>The Crossing Guard Program employees will wear uniforms supplied by the contractor that identify these individuals as available to assist the public.</w:t>
      </w:r>
    </w:p>
    <w:p w14:paraId="72AB4A59" w14:textId="77777777" w:rsidR="00EE242B" w:rsidRPr="002B4E4A" w:rsidRDefault="00EE242B" w:rsidP="00EE242B">
      <w:pPr>
        <w:pStyle w:val="ListParagraph"/>
        <w:numPr>
          <w:ilvl w:val="0"/>
          <w:numId w:val="1"/>
        </w:numPr>
        <w:spacing w:after="0" w:line="240" w:lineRule="auto"/>
        <w:ind w:left="540" w:right="446"/>
        <w:rPr>
          <w:rFonts w:ascii="Calibri" w:hAnsi="Calibri" w:cs="Calibri"/>
          <w:b/>
          <w:bCs/>
          <w:sz w:val="20"/>
          <w:szCs w:val="20"/>
        </w:rPr>
      </w:pPr>
      <w:r w:rsidRPr="002B4E4A">
        <w:rPr>
          <w:rFonts w:ascii="Calibri" w:hAnsi="Calibri" w:cs="Calibri"/>
          <w:sz w:val="20"/>
          <w:szCs w:val="20"/>
        </w:rPr>
        <w:t xml:space="preserve">The contractor will provide daily supervision with an onsite supervisor who can fill in for absent crossing guards as needed to ensure the schedule is maintained and agreed-upon pedestrian crosswalks are covered. </w:t>
      </w:r>
      <w:r>
        <w:rPr>
          <w:rFonts w:ascii="Calibri" w:hAnsi="Calibri" w:cs="Calibri"/>
          <w:sz w:val="20"/>
          <w:szCs w:val="20"/>
        </w:rPr>
        <w:t>If</w:t>
      </w:r>
      <w:r w:rsidRPr="002B4E4A">
        <w:rPr>
          <w:rFonts w:ascii="Calibri" w:hAnsi="Calibri" w:cs="Calibri"/>
          <w:sz w:val="20"/>
          <w:szCs w:val="20"/>
        </w:rPr>
        <w:t xml:space="preserve"> the contractor cannot guarantee coverage for a period of time, the supervisor will contact the TBMP administrator as soon as possible.</w:t>
      </w:r>
    </w:p>
    <w:p w14:paraId="30502128" w14:textId="77777777" w:rsidR="00EE242B" w:rsidRPr="002B4E4A" w:rsidRDefault="00EE242B" w:rsidP="00EE242B">
      <w:pPr>
        <w:pStyle w:val="ListParagraph"/>
        <w:numPr>
          <w:ilvl w:val="0"/>
          <w:numId w:val="1"/>
        </w:numPr>
        <w:spacing w:after="0" w:line="240" w:lineRule="auto"/>
        <w:ind w:left="540" w:right="446"/>
        <w:rPr>
          <w:rFonts w:ascii="Calibri" w:hAnsi="Calibri" w:cs="Calibri"/>
          <w:b/>
          <w:bCs/>
          <w:sz w:val="20"/>
          <w:szCs w:val="20"/>
        </w:rPr>
      </w:pPr>
      <w:r w:rsidRPr="002B4E4A">
        <w:rPr>
          <w:rFonts w:ascii="Calibri" w:hAnsi="Calibri" w:cs="Calibri"/>
          <w:sz w:val="20"/>
          <w:szCs w:val="20"/>
        </w:rPr>
        <w:t>The contractor will provide crossing guards with handheld STOP signs and whistles, radios for communication with their onsite supervisor, and other supplies deemed necessary to effectively perform crossing guard duties.</w:t>
      </w:r>
    </w:p>
    <w:p w14:paraId="0D14D9DF" w14:textId="77777777" w:rsidR="00EE242B" w:rsidRPr="002B4E4A" w:rsidRDefault="00EE242B" w:rsidP="00EE242B">
      <w:pPr>
        <w:pStyle w:val="ListParagraph"/>
        <w:numPr>
          <w:ilvl w:val="0"/>
          <w:numId w:val="1"/>
        </w:numPr>
        <w:spacing w:after="0" w:line="240" w:lineRule="auto"/>
        <w:ind w:left="540" w:right="446"/>
        <w:rPr>
          <w:rFonts w:ascii="Calibri" w:hAnsi="Calibri" w:cs="Calibri"/>
          <w:b/>
          <w:bCs/>
          <w:sz w:val="20"/>
          <w:szCs w:val="20"/>
        </w:rPr>
      </w:pPr>
      <w:r w:rsidRPr="002B4E4A">
        <w:rPr>
          <w:rFonts w:ascii="Calibri" w:hAnsi="Calibri" w:cs="Calibri"/>
          <w:sz w:val="20"/>
          <w:szCs w:val="20"/>
        </w:rPr>
        <w:t>The crossing guards will communicate via radio to ensure that breaks are covered and guards are deployed to the busiest crosswalks.</w:t>
      </w:r>
    </w:p>
    <w:p w14:paraId="73F6E76C" w14:textId="77777777" w:rsidR="00EE242B" w:rsidRPr="002B4E4A" w:rsidRDefault="00EE242B" w:rsidP="00EE242B">
      <w:pPr>
        <w:spacing w:after="0" w:line="240" w:lineRule="auto"/>
        <w:ind w:left="540" w:hanging="360"/>
        <w:rPr>
          <w:rFonts w:ascii="Calibri" w:hAnsi="Calibri" w:cs="Calibri"/>
          <w:b/>
          <w:bCs/>
          <w:sz w:val="20"/>
          <w:szCs w:val="20"/>
        </w:rPr>
      </w:pPr>
    </w:p>
    <w:p w14:paraId="09967461" w14:textId="77777777" w:rsidR="00EE242B" w:rsidRDefault="00EE242B" w:rsidP="00EE242B">
      <w:pPr>
        <w:tabs>
          <w:tab w:val="left" w:pos="180"/>
        </w:tabs>
        <w:spacing w:after="0" w:line="240" w:lineRule="auto"/>
        <w:ind w:left="180"/>
        <w:rPr>
          <w:rFonts w:ascii="Calibri" w:hAnsi="Calibri" w:cs="Calibri"/>
          <w:sz w:val="20"/>
          <w:szCs w:val="20"/>
        </w:rPr>
      </w:pPr>
      <w:r w:rsidRPr="002B4E4A">
        <w:rPr>
          <w:rFonts w:ascii="Calibri" w:hAnsi="Calibri" w:cs="Calibri"/>
          <w:b/>
          <w:bCs/>
          <w:sz w:val="20"/>
          <w:szCs w:val="20"/>
        </w:rPr>
        <w:t xml:space="preserve">Proof of Performance:  </w:t>
      </w:r>
      <w:r w:rsidRPr="002B4E4A">
        <w:rPr>
          <w:rFonts w:ascii="Calibri" w:hAnsi="Calibri" w:cs="Calibri"/>
          <w:sz w:val="20"/>
          <w:szCs w:val="20"/>
        </w:rPr>
        <w:t>The contract will be considered successful if no more than five (5) verified complaints about crossing</w:t>
      </w:r>
    </w:p>
    <w:p w14:paraId="23EE32D9" w14:textId="77777777" w:rsidR="00EE242B" w:rsidRDefault="00EE242B" w:rsidP="00EE242B">
      <w:pPr>
        <w:tabs>
          <w:tab w:val="left" w:pos="180"/>
        </w:tabs>
        <w:spacing w:after="0" w:line="240" w:lineRule="auto"/>
        <w:ind w:left="180"/>
        <w:rPr>
          <w:rFonts w:ascii="Calibri" w:hAnsi="Calibri" w:cs="Calibri"/>
          <w:sz w:val="20"/>
          <w:szCs w:val="20"/>
        </w:rPr>
      </w:pPr>
      <w:r w:rsidRPr="002B4E4A">
        <w:rPr>
          <w:rFonts w:ascii="Calibri" w:hAnsi="Calibri" w:cs="Calibri"/>
          <w:sz w:val="20"/>
          <w:szCs w:val="20"/>
        </w:rPr>
        <w:t xml:space="preserve">guard service are received during the term of the contract.  Successful contract completion will make the contractor eligible for </w:t>
      </w:r>
      <w:r>
        <w:rPr>
          <w:rFonts w:ascii="Calibri" w:hAnsi="Calibri" w:cs="Calibri"/>
          <w:sz w:val="20"/>
          <w:szCs w:val="20"/>
        </w:rPr>
        <w:t>a</w:t>
      </w:r>
      <w:r w:rsidRPr="002B4E4A">
        <w:rPr>
          <w:rFonts w:ascii="Calibri" w:hAnsi="Calibri" w:cs="Calibri"/>
          <w:sz w:val="20"/>
          <w:szCs w:val="20"/>
        </w:rPr>
        <w:t xml:space="preserve">utomatic contract renewal by Travel Juneau.  Unsuccessful contract completion will result in Travel Juneau issuing a new RFP </w:t>
      </w:r>
    </w:p>
    <w:p w14:paraId="621908E7" w14:textId="6BFB54B9" w:rsidR="00EE242B" w:rsidRDefault="00EE242B" w:rsidP="00EE242B">
      <w:pPr>
        <w:tabs>
          <w:tab w:val="left" w:pos="180"/>
        </w:tabs>
        <w:spacing w:after="0" w:line="240" w:lineRule="auto"/>
        <w:ind w:left="180"/>
        <w:rPr>
          <w:rFonts w:ascii="Calibri" w:hAnsi="Calibri" w:cs="Calibri"/>
          <w:sz w:val="20"/>
          <w:szCs w:val="20"/>
        </w:rPr>
      </w:pPr>
      <w:r w:rsidRPr="002B4E4A">
        <w:rPr>
          <w:rFonts w:ascii="Calibri" w:hAnsi="Calibri" w:cs="Calibri"/>
          <w:sz w:val="20"/>
          <w:szCs w:val="20"/>
        </w:rPr>
        <w:t>for the subsequent visitor season.</w:t>
      </w:r>
    </w:p>
    <w:p w14:paraId="67B353CA" w14:textId="75776AB2" w:rsidR="007302FC" w:rsidRDefault="007302FC"/>
    <w:p w14:paraId="1E1AD3A7" w14:textId="77777777" w:rsidR="00EE242B" w:rsidRDefault="00EE242B"/>
    <w:p w14:paraId="6F08BC4F" w14:textId="77777777" w:rsidR="00EE242B" w:rsidRDefault="00EE242B"/>
    <w:p w14:paraId="068FB5E1" w14:textId="0DB658E9" w:rsidR="00EE242B" w:rsidRDefault="00EE242B">
      <w:r>
        <w:lastRenderedPageBreak/>
        <w:t>~2~</w:t>
      </w:r>
    </w:p>
    <w:p w14:paraId="1A61D900" w14:textId="77777777" w:rsidR="00EE242B" w:rsidRDefault="00EE242B"/>
    <w:p w14:paraId="3E084BB3" w14:textId="77777777" w:rsidR="00EE242B" w:rsidRPr="002B4E4A" w:rsidRDefault="00EE242B" w:rsidP="00EE242B">
      <w:pPr>
        <w:spacing w:after="0" w:line="240" w:lineRule="auto"/>
        <w:ind w:left="180"/>
        <w:rPr>
          <w:rFonts w:ascii="Calibri" w:hAnsi="Calibri" w:cs="Calibri"/>
          <w:b/>
          <w:bCs/>
          <w:sz w:val="20"/>
          <w:szCs w:val="20"/>
        </w:rPr>
      </w:pPr>
      <w:r w:rsidRPr="002B4E4A">
        <w:rPr>
          <w:rFonts w:ascii="Calibri" w:hAnsi="Calibri" w:cs="Calibri"/>
          <w:b/>
          <w:bCs/>
          <w:sz w:val="20"/>
          <w:szCs w:val="20"/>
        </w:rPr>
        <w:t xml:space="preserve">Insurance:  </w:t>
      </w:r>
      <w:r w:rsidRPr="002B4E4A">
        <w:rPr>
          <w:rFonts w:ascii="Calibri" w:hAnsi="Calibri" w:cs="Calibri"/>
          <w:sz w:val="20"/>
          <w:szCs w:val="20"/>
        </w:rPr>
        <w:t>The contractor must provide insurance as required by the City &amp; Borough of Juneau (CBJ) as the crosswalks are on public property:</w:t>
      </w:r>
    </w:p>
    <w:p w14:paraId="5F4CF801" w14:textId="77777777" w:rsidR="00EE242B" w:rsidRPr="002B4E4A" w:rsidRDefault="00EE242B" w:rsidP="00EE242B">
      <w:pPr>
        <w:pStyle w:val="ListParagraph"/>
        <w:numPr>
          <w:ilvl w:val="1"/>
          <w:numId w:val="5"/>
        </w:numPr>
        <w:tabs>
          <w:tab w:val="left" w:pos="1267"/>
        </w:tabs>
        <w:spacing w:after="0" w:line="240" w:lineRule="auto"/>
        <w:ind w:left="540" w:right="446"/>
        <w:rPr>
          <w:rFonts w:ascii="Calibri" w:hAnsi="Calibri" w:cs="Calibri"/>
          <w:b/>
          <w:bCs/>
          <w:sz w:val="20"/>
          <w:szCs w:val="20"/>
        </w:rPr>
      </w:pPr>
      <w:r w:rsidRPr="002B4E4A">
        <w:rPr>
          <w:rFonts w:ascii="Calibri" w:hAnsi="Calibri" w:cs="Calibri"/>
          <w:sz w:val="20"/>
          <w:szCs w:val="20"/>
        </w:rPr>
        <w:t>$1 million each for General Liability and Auto Liability.  Policies shall name CBJ as Additional Insured; and</w:t>
      </w:r>
    </w:p>
    <w:p w14:paraId="26D3205F" w14:textId="77777777" w:rsidR="00EE242B" w:rsidRPr="002B4E4A" w:rsidRDefault="00EE242B" w:rsidP="00EE242B">
      <w:pPr>
        <w:pStyle w:val="ListParagraph"/>
        <w:numPr>
          <w:ilvl w:val="1"/>
          <w:numId w:val="5"/>
        </w:numPr>
        <w:tabs>
          <w:tab w:val="left" w:pos="1267"/>
        </w:tabs>
        <w:spacing w:after="0" w:line="240" w:lineRule="auto"/>
        <w:ind w:left="540" w:right="446"/>
        <w:rPr>
          <w:rFonts w:ascii="Calibri" w:hAnsi="Calibri" w:cs="Calibri"/>
          <w:b/>
          <w:bCs/>
          <w:sz w:val="20"/>
          <w:szCs w:val="20"/>
        </w:rPr>
      </w:pPr>
      <w:r w:rsidRPr="002B4E4A">
        <w:rPr>
          <w:rFonts w:ascii="Calibri" w:hAnsi="Calibri" w:cs="Calibri"/>
          <w:sz w:val="20"/>
          <w:szCs w:val="20"/>
        </w:rPr>
        <w:t xml:space="preserve">Worker’s Compensation maintained at the statutory limit or higher; and </w:t>
      </w:r>
    </w:p>
    <w:p w14:paraId="0C8DA678" w14:textId="77777777" w:rsidR="00EE242B" w:rsidRPr="002B4E4A" w:rsidRDefault="00EE242B" w:rsidP="00EE242B">
      <w:pPr>
        <w:pStyle w:val="ListParagraph"/>
        <w:numPr>
          <w:ilvl w:val="1"/>
          <w:numId w:val="5"/>
        </w:numPr>
        <w:tabs>
          <w:tab w:val="left" w:pos="1267"/>
        </w:tabs>
        <w:spacing w:after="0" w:line="240" w:lineRule="auto"/>
        <w:ind w:left="540" w:right="446"/>
        <w:rPr>
          <w:rFonts w:ascii="Calibri" w:hAnsi="Calibri" w:cs="Calibri"/>
          <w:b/>
          <w:bCs/>
          <w:sz w:val="20"/>
          <w:szCs w:val="20"/>
        </w:rPr>
      </w:pPr>
      <w:r w:rsidRPr="002B4E4A">
        <w:rPr>
          <w:rFonts w:ascii="Calibri" w:hAnsi="Calibri" w:cs="Calibri"/>
          <w:sz w:val="20"/>
          <w:szCs w:val="20"/>
        </w:rPr>
        <w:t>Employer’s Liability maintained at $100/$500 thousand or higher.</w:t>
      </w:r>
    </w:p>
    <w:p w14:paraId="10CDB67A" w14:textId="77777777" w:rsidR="00EE242B" w:rsidRDefault="00EE242B" w:rsidP="00EE242B">
      <w:pPr>
        <w:spacing w:after="0" w:line="240" w:lineRule="auto"/>
        <w:ind w:left="180"/>
        <w:rPr>
          <w:rFonts w:ascii="Calibri" w:hAnsi="Calibri" w:cs="Calibri"/>
          <w:sz w:val="20"/>
          <w:szCs w:val="20"/>
        </w:rPr>
      </w:pPr>
      <w:r w:rsidRPr="002B4E4A">
        <w:rPr>
          <w:rFonts w:ascii="Calibri" w:hAnsi="Calibri" w:cs="Calibri"/>
          <w:sz w:val="20"/>
          <w:szCs w:val="20"/>
        </w:rPr>
        <w:t xml:space="preserve">Additionally, CBJ requires that the Crossing Guard Program service provider name CBJ as additional insured on their Comprehensive General and Business Automobile Insurance and provide proof of Professional, Worker’s Compensation, </w:t>
      </w:r>
    </w:p>
    <w:p w14:paraId="313807C9" w14:textId="04216935" w:rsidR="00EE242B" w:rsidRDefault="00EE242B" w:rsidP="00EE242B">
      <w:pPr>
        <w:tabs>
          <w:tab w:val="left" w:pos="630"/>
        </w:tabs>
        <w:spacing w:after="0" w:line="240" w:lineRule="auto"/>
        <w:ind w:left="180"/>
        <w:rPr>
          <w:rFonts w:ascii="Calibri" w:hAnsi="Calibri" w:cs="Calibri"/>
          <w:sz w:val="20"/>
          <w:szCs w:val="20"/>
        </w:rPr>
      </w:pPr>
      <w:r w:rsidRPr="002B4E4A">
        <w:rPr>
          <w:rFonts w:ascii="Calibri" w:hAnsi="Calibri" w:cs="Calibri"/>
          <w:sz w:val="20"/>
          <w:szCs w:val="20"/>
        </w:rPr>
        <w:t>and Employer’s Liability Insurance in the amounts listed above to provide to CBJ that such insurance requirements are in place before any monies are advanced to the grantee.</w:t>
      </w:r>
    </w:p>
    <w:p w14:paraId="4D8F7AB8" w14:textId="77777777" w:rsidR="00EE242B" w:rsidRPr="002B4E4A" w:rsidRDefault="00EE242B" w:rsidP="00EE242B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1463B060" w14:textId="77777777" w:rsidR="00EE242B" w:rsidRPr="002B4E4A" w:rsidRDefault="00EE242B" w:rsidP="00EE242B">
      <w:pPr>
        <w:spacing w:after="0" w:line="240" w:lineRule="auto"/>
        <w:ind w:left="540" w:hanging="360"/>
        <w:rPr>
          <w:rFonts w:ascii="Calibri" w:hAnsi="Calibri" w:cs="Calibri"/>
          <w:b/>
          <w:bCs/>
          <w:sz w:val="20"/>
          <w:szCs w:val="20"/>
        </w:rPr>
      </w:pPr>
      <w:r w:rsidRPr="002B4E4A">
        <w:rPr>
          <w:rFonts w:ascii="Calibri" w:hAnsi="Calibri" w:cs="Calibri"/>
          <w:b/>
          <w:bCs/>
          <w:sz w:val="20"/>
          <w:szCs w:val="20"/>
        </w:rPr>
        <w:t>Additional Information:</w:t>
      </w:r>
    </w:p>
    <w:p w14:paraId="4F7209F2" w14:textId="77777777" w:rsidR="00EE242B" w:rsidRPr="002B4E4A" w:rsidRDefault="00EE242B" w:rsidP="00EE242B">
      <w:pPr>
        <w:pStyle w:val="ListParagraph"/>
        <w:numPr>
          <w:ilvl w:val="0"/>
          <w:numId w:val="4"/>
        </w:numPr>
        <w:spacing w:after="0" w:line="240" w:lineRule="auto"/>
        <w:ind w:left="540" w:right="446"/>
        <w:rPr>
          <w:rFonts w:ascii="Calibri" w:hAnsi="Calibri" w:cs="Calibri"/>
          <w:sz w:val="20"/>
          <w:szCs w:val="20"/>
        </w:rPr>
      </w:pPr>
      <w:r w:rsidRPr="002B4E4A">
        <w:rPr>
          <w:rFonts w:ascii="Calibri" w:hAnsi="Calibri" w:cs="Calibri"/>
          <w:sz w:val="20"/>
          <w:szCs w:val="20"/>
        </w:rPr>
        <w:t>The services provided under this contract do not include any law enforcement functions, and individuals performing the services will not carry firearms.</w:t>
      </w:r>
    </w:p>
    <w:p w14:paraId="64F47628" w14:textId="77777777" w:rsidR="00EE242B" w:rsidRPr="002B4E4A" w:rsidRDefault="00EE242B" w:rsidP="00EE242B">
      <w:pPr>
        <w:pStyle w:val="ListParagraph"/>
        <w:numPr>
          <w:ilvl w:val="0"/>
          <w:numId w:val="4"/>
        </w:numPr>
        <w:spacing w:after="0" w:line="240" w:lineRule="auto"/>
        <w:ind w:left="540" w:right="446"/>
        <w:rPr>
          <w:rFonts w:ascii="Calibri" w:hAnsi="Calibri" w:cs="Calibri"/>
          <w:sz w:val="20"/>
          <w:szCs w:val="20"/>
        </w:rPr>
      </w:pPr>
      <w:r w:rsidRPr="002B4E4A">
        <w:rPr>
          <w:rFonts w:ascii="Calibri" w:hAnsi="Calibri" w:cs="Calibri"/>
          <w:sz w:val="20"/>
          <w:szCs w:val="20"/>
        </w:rPr>
        <w:t>The contractor will, each morning, email the daily crossing guard schedule detailing the locations and hours of coverage to the TBMP administrator.</w:t>
      </w:r>
    </w:p>
    <w:p w14:paraId="1165D64B" w14:textId="77777777" w:rsidR="00EE242B" w:rsidRPr="002B4E4A" w:rsidRDefault="00EE242B" w:rsidP="00EE242B">
      <w:pPr>
        <w:pStyle w:val="ListParagraph"/>
        <w:numPr>
          <w:ilvl w:val="0"/>
          <w:numId w:val="4"/>
        </w:numPr>
        <w:spacing w:after="0" w:line="240" w:lineRule="auto"/>
        <w:ind w:left="540" w:right="446"/>
        <w:rPr>
          <w:rFonts w:ascii="Calibri" w:hAnsi="Calibri" w:cs="Calibri"/>
          <w:sz w:val="20"/>
          <w:szCs w:val="20"/>
        </w:rPr>
      </w:pPr>
      <w:r w:rsidRPr="002B4E4A">
        <w:rPr>
          <w:rFonts w:ascii="Calibri" w:hAnsi="Calibri" w:cs="Calibri"/>
          <w:sz w:val="20"/>
          <w:szCs w:val="20"/>
        </w:rPr>
        <w:t>Monthly invoices shall detail the daily hours billed and be emailed to the Tourism Best Management Practices administrator for payment.</w:t>
      </w:r>
    </w:p>
    <w:p w14:paraId="0ADAB518" w14:textId="77777777" w:rsidR="00EE242B" w:rsidRPr="002B4E4A" w:rsidRDefault="00EE242B" w:rsidP="00EE242B">
      <w:pPr>
        <w:pStyle w:val="ListParagraph"/>
        <w:numPr>
          <w:ilvl w:val="0"/>
          <w:numId w:val="4"/>
        </w:numPr>
        <w:spacing w:after="0" w:line="240" w:lineRule="auto"/>
        <w:ind w:left="540" w:right="446"/>
        <w:rPr>
          <w:rFonts w:ascii="Calibri" w:hAnsi="Calibri" w:cs="Calibri"/>
          <w:sz w:val="20"/>
          <w:szCs w:val="20"/>
        </w:rPr>
      </w:pPr>
      <w:r w:rsidRPr="002B4E4A">
        <w:rPr>
          <w:rFonts w:ascii="Calibri" w:hAnsi="Calibri" w:cs="Calibri"/>
          <w:sz w:val="20"/>
          <w:szCs w:val="20"/>
        </w:rPr>
        <w:t>RFP respondents must provide an itemized budget worksheet estimating, by month, 1) the hourly wage rate and billing rate; 2) number of hours anticipated for crossing guard coverage, 3) onsite supervisor hours, pay rate and billing rate; and 4) estimate for equipment and training.</w:t>
      </w:r>
    </w:p>
    <w:p w14:paraId="036215E4" w14:textId="77777777" w:rsidR="00EE242B" w:rsidRPr="002B4E4A" w:rsidRDefault="00EE242B" w:rsidP="00EE242B">
      <w:pPr>
        <w:pStyle w:val="ListParagraph"/>
        <w:numPr>
          <w:ilvl w:val="0"/>
          <w:numId w:val="4"/>
        </w:numPr>
        <w:spacing w:after="0" w:line="240" w:lineRule="auto"/>
        <w:ind w:left="540" w:right="446"/>
        <w:rPr>
          <w:rFonts w:ascii="Calibri" w:hAnsi="Calibri" w:cs="Calibri"/>
          <w:sz w:val="20"/>
          <w:szCs w:val="20"/>
        </w:rPr>
      </w:pPr>
      <w:r w:rsidRPr="002B4E4A">
        <w:rPr>
          <w:rFonts w:ascii="Calibri" w:hAnsi="Calibri" w:cs="Calibri"/>
          <w:sz w:val="20"/>
          <w:szCs w:val="20"/>
        </w:rPr>
        <w:t>The total bid amount for the RFP (spanning July 1, 2024 – October 31, 2025) shall not exceed $350,000 for staff hours billed nor $50,000 for equipment purchases. These amounts include 5% local sales tax.</w:t>
      </w:r>
    </w:p>
    <w:p w14:paraId="64EE79D5" w14:textId="77777777" w:rsidR="00EE242B" w:rsidRDefault="00EE242B" w:rsidP="00EE242B"/>
    <w:p w14:paraId="30DA0E01" w14:textId="77777777" w:rsidR="00EE242B" w:rsidRDefault="00EE242B" w:rsidP="00EE242B">
      <w:pPr>
        <w:ind w:left="180"/>
      </w:pPr>
    </w:p>
    <w:p w14:paraId="2A669EDA" w14:textId="77777777" w:rsidR="00EE242B" w:rsidRDefault="00EE242B"/>
    <w:p w14:paraId="27D614C0" w14:textId="77777777" w:rsidR="00EE242B" w:rsidRDefault="00EE242B"/>
    <w:sectPr w:rsidR="00EE242B" w:rsidSect="007C2A6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A1C79"/>
    <w:multiLevelType w:val="hybridMultilevel"/>
    <w:tmpl w:val="B2AE6D7C"/>
    <w:lvl w:ilvl="0" w:tplc="FFFFFFFF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1" w15:restartNumberingAfterBreak="0">
    <w:nsid w:val="2ECC0C9C"/>
    <w:multiLevelType w:val="hybridMultilevel"/>
    <w:tmpl w:val="9B86E4A0"/>
    <w:lvl w:ilvl="0" w:tplc="FFFFFFFF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2" w15:restartNumberingAfterBreak="0">
    <w:nsid w:val="3DB508CD"/>
    <w:multiLevelType w:val="hybridMultilevel"/>
    <w:tmpl w:val="C3D0B77A"/>
    <w:lvl w:ilvl="0" w:tplc="04090001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3" w15:restartNumberingAfterBreak="0">
    <w:nsid w:val="4D190AD6"/>
    <w:multiLevelType w:val="hybridMultilevel"/>
    <w:tmpl w:val="F9805884"/>
    <w:lvl w:ilvl="0" w:tplc="04090001">
      <w:start w:val="1"/>
      <w:numFmt w:val="bullet"/>
      <w:lvlText w:val=""/>
      <w:lvlJc w:val="left"/>
      <w:pPr>
        <w:ind w:left="907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6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7" w:hanging="360"/>
      </w:pPr>
      <w:rPr>
        <w:rFonts w:ascii="Wingdings" w:hAnsi="Wingdings" w:hint="default"/>
      </w:rPr>
    </w:lvl>
  </w:abstractNum>
  <w:abstractNum w:abstractNumId="4" w15:restartNumberingAfterBreak="0">
    <w:nsid w:val="78C16028"/>
    <w:multiLevelType w:val="hybridMultilevel"/>
    <w:tmpl w:val="403C9BB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41605818">
    <w:abstractNumId w:val="3"/>
  </w:num>
  <w:num w:numId="2" w16cid:durableId="1965849603">
    <w:abstractNumId w:val="1"/>
  </w:num>
  <w:num w:numId="3" w16cid:durableId="1505320268">
    <w:abstractNumId w:val="4"/>
  </w:num>
  <w:num w:numId="4" w16cid:durableId="1065302451">
    <w:abstractNumId w:val="2"/>
  </w:num>
  <w:num w:numId="5" w16cid:durableId="2029942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42B"/>
    <w:rsid w:val="002D1D8F"/>
    <w:rsid w:val="007168E0"/>
    <w:rsid w:val="007302FC"/>
    <w:rsid w:val="007C2A67"/>
    <w:rsid w:val="00A13E5E"/>
    <w:rsid w:val="00B06BAC"/>
    <w:rsid w:val="00BE095D"/>
    <w:rsid w:val="00BE645F"/>
    <w:rsid w:val="00D12711"/>
    <w:rsid w:val="00EE242B"/>
    <w:rsid w:val="00F63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E215FC"/>
  <w15:chartTrackingRefBased/>
  <w15:docId w15:val="{B64F4BF7-0CA9-44CC-AB31-468CD0859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ind w:left="187" w:right="446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242B"/>
    <w:pPr>
      <w:spacing w:after="160" w:line="259" w:lineRule="auto"/>
      <w:ind w:left="0" w:right="0"/>
      <w:jc w:val="left"/>
    </w:pPr>
  </w:style>
  <w:style w:type="paragraph" w:styleId="Heading1">
    <w:name w:val="heading 1"/>
    <w:basedOn w:val="Normal"/>
    <w:next w:val="Normal"/>
    <w:link w:val="Heading1Char"/>
    <w:uiPriority w:val="9"/>
    <w:qFormat/>
    <w:rsid w:val="00EE24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24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24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24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24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242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242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242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242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E24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24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24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24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24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24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24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24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24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E242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E24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242B"/>
    <w:pPr>
      <w:numPr>
        <w:ilvl w:val="1"/>
      </w:numPr>
      <w:ind w:left="187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24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E242B"/>
    <w:pPr>
      <w:spacing w:before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E24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E24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E24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24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24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E242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725</Words>
  <Characters>4137</Characters>
  <Application>Microsoft Office Word</Application>
  <DocSecurity>0</DocSecurity>
  <Lines>34</Lines>
  <Paragraphs>9</Paragraphs>
  <ScaleCrop>false</ScaleCrop>
  <Company/>
  <LinksUpToDate>false</LinksUpToDate>
  <CharactersWithSpaces>4853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Elizabeth Arnett</dc:creator>
  <cp:keywords/>
  <dc:description/>
  <cp:lastModifiedBy>Elizabeth Arnett</cp:lastModifiedBy>
  <cp:revision>2</cp:revision>
  <dcterms:created xsi:type="dcterms:W3CDTF">2025-01-09T21:55:00Z</dcterms:created>
  <dcterms:modified xsi:type="dcterms:W3CDTF">2025-01-09T22:18:00Z</dcterms:modified>
</cp:coreProperties>
</file>